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680" w:line="240" w:lineRule="auto"/>
        <w:ind w:left="0" w:right="420" w:firstLine="0"/>
        <w:jc w:val="right"/>
        <w:rPr>
          <w:sz w:val="19"/>
          <w:szCs w:val="19"/>
        </w:rPr>
      </w:pPr>
      <w:r>
        <mc:AlternateContent>
          <mc:Choice Requires="wps">
            <w:drawing>
              <wp:anchor distT="0" distB="0" distL="114300" distR="114300" simplePos="0" relativeHeight="125829378" behindDoc="0" locked="0" layoutInCell="1" allowOverlap="1">
                <wp:simplePos x="0" y="0"/>
                <wp:positionH relativeFrom="page">
                  <wp:posOffset>1010285</wp:posOffset>
                </wp:positionH>
                <wp:positionV relativeFrom="paragraph">
                  <wp:posOffset>12700</wp:posOffset>
                </wp:positionV>
                <wp:extent cx="450215" cy="155575"/>
                <wp:wrapSquare wrapText="right"/>
                <wp:docPr id="1" name="Shape 1"/>
                <a:graphic xmlns:a="http://schemas.openxmlformats.org/drawingml/2006/main">
                  <a:graphicData uri="http://schemas.microsoft.com/office/word/2010/wordprocessingShape">
                    <wps:wsp>
                      <wps:cNvSpPr txBox="1"/>
                      <wps:spPr>
                        <a:xfrm>
                          <a:ext cx="45021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269</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9.549999999999997pt;margin-top:1.pt;width:35.450000000000003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269</w:t>
                      </w:r>
                    </w:p>
                  </w:txbxContent>
                </v:textbox>
                <w10:wrap type="square" side="right" anchorx="page"/>
              </v:shape>
            </w:pict>
          </mc:Fallback>
        </mc:AlternateContent>
      </w:r>
      <w:r>
        <w:rPr>
          <w:color w:val="000000"/>
          <w:spacing w:val="0"/>
          <w:w w:val="100"/>
          <w:position w:val="0"/>
          <w:sz w:val="19"/>
          <w:szCs w:val="19"/>
          <w:shd w:val="clear" w:color="auto" w:fill="auto"/>
          <w:lang w:val="cs-CZ" w:eastAsia="cs-CZ" w:bidi="cs-CZ"/>
        </w:rPr>
        <w:t>Č.sml.K 2024-2739-213</w:t>
      </w:r>
    </w:p>
    <w:p>
      <w:pPr>
        <w:pStyle w:val="Style8"/>
        <w:keepNext/>
        <w:keepLines/>
        <w:widowControl w:val="0"/>
        <w:shd w:val="clear" w:color="auto" w:fill="auto"/>
        <w:bidi w:val="0"/>
        <w:spacing w:before="0" w:after="40" w:line="240" w:lineRule="auto"/>
        <w:ind w:left="0" w:right="0" w:firstLine="520"/>
        <w:jc w:val="left"/>
        <w:rPr>
          <w:sz w:val="26"/>
          <w:szCs w:val="26"/>
        </w:rPr>
      </w:pPr>
      <w:bookmarkStart w:id="0" w:name="bookmark0"/>
      <w:r>
        <w:rPr>
          <w:rFonts w:ascii="Cambria" w:eastAsia="Cambria" w:hAnsi="Cambria" w:cs="Cambria"/>
          <w:color w:val="000000"/>
          <w:spacing w:val="0"/>
          <w:w w:val="100"/>
          <w:position w:val="0"/>
          <w:sz w:val="26"/>
          <w:szCs w:val="26"/>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88"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40" w:line="288" w:lineRule="auto"/>
        <w:ind w:left="0" w:right="0" w:firstLine="660"/>
        <w:jc w:val="both"/>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after="280" w:line="288"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02"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line="288" w:lineRule="auto"/>
        <w:ind w:left="0" w:right="0" w:firstLine="660"/>
        <w:jc w:val="both"/>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0" w:line="288" w:lineRule="auto"/>
        <w:ind w:left="0" w:right="0" w:firstLine="660"/>
        <w:jc w:val="both"/>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532" w:val="left"/>
        </w:tabs>
        <w:bidi w:val="0"/>
        <w:spacing w:before="0" w:after="0" w:line="288" w:lineRule="auto"/>
        <w:ind w:left="660" w:right="0" w:firstLine="20"/>
        <w:jc w:val="both"/>
      </w:pPr>
      <w:r>
        <w:rPr>
          <w:color w:val="000000"/>
          <w:spacing w:val="0"/>
          <w:w w:val="100"/>
          <w:position w:val="0"/>
          <w:shd w:val="clear" w:color="auto" w:fill="auto"/>
          <w:lang w:val="cs-CZ" w:eastAsia="cs-CZ" w:bidi="cs-CZ"/>
        </w:rPr>
        <w:t>zapsané v obchodním rejstříku vedeném u Krajského soudu v Hradci Králové, oddíl Dr, vložka 807 zastoupené předsedou představenstva</w:t>
        <w:tab/>
        <w:t>a místopředsedou</w:t>
      </w:r>
    </w:p>
    <w:p>
      <w:pPr>
        <w:pStyle w:val="Style2"/>
        <w:keepNext w:val="0"/>
        <w:keepLines w:val="0"/>
        <w:widowControl w:val="0"/>
        <w:shd w:val="clear" w:color="auto" w:fill="auto"/>
        <w:tabs>
          <w:tab w:pos="4480" w:val="left"/>
        </w:tabs>
        <w:bidi w:val="0"/>
        <w:spacing w:before="0" w:after="280" w:line="288" w:lineRule="auto"/>
        <w:ind w:left="0" w:right="0" w:firstLine="660"/>
        <w:jc w:val="both"/>
      </w:pPr>
      <w:r>
        <w:rPr>
          <w:color w:val="000000"/>
          <w:spacing w:val="0"/>
          <w:w w:val="100"/>
          <w:position w:val="0"/>
          <w:shd w:val="clear" w:color="auto" w:fill="auto"/>
          <w:lang w:val="cs-CZ" w:eastAsia="cs-CZ" w:bidi="cs-CZ"/>
        </w:rPr>
        <w:t>představenstva</w:t>
        <w:tab/>
        <w:t>e-mail:</w:t>
      </w:r>
    </w:p>
    <w:p>
      <w:pPr>
        <w:pStyle w:val="Style2"/>
        <w:keepNext w:val="0"/>
        <w:keepLines w:val="0"/>
        <w:widowControl w:val="0"/>
        <w:shd w:val="clear" w:color="auto" w:fill="auto"/>
        <w:bidi w:val="0"/>
        <w:spacing w:before="0" w:after="280" w:line="290" w:lineRule="auto"/>
        <w:ind w:left="0" w:right="0" w:firstLine="620"/>
        <w:jc w:val="both"/>
      </w:pPr>
      <w:r>
        <w:rPr>
          <w:color w:val="000000"/>
          <w:spacing w:val="0"/>
          <w:w w:val="100"/>
          <w:position w:val="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02"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88" w:lineRule="auto"/>
        <w:ind w:left="0" w:right="0" w:firstLine="520"/>
        <w:jc w:val="both"/>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after="0" w:line="288" w:lineRule="auto"/>
        <w:ind w:left="0" w:right="0" w:firstLine="520"/>
        <w:jc w:val="both"/>
      </w:pPr>
      <w:r>
        <w:rPr>
          <w:color w:val="000000"/>
          <w:spacing w:val="0"/>
          <w:w w:val="100"/>
          <w:position w:val="0"/>
          <w:shd w:val="clear" w:color="auto" w:fill="auto"/>
          <w:lang w:val="cs-CZ" w:eastAsia="cs-CZ" w:bidi="cs-CZ"/>
        </w:rPr>
        <w:t>sídlem Pernštýnské náměstí 1,530 02 Pardubice</w:t>
      </w:r>
    </w:p>
    <w:p>
      <w:pPr>
        <w:pStyle w:val="Style2"/>
        <w:keepNext w:val="0"/>
        <w:keepLines w:val="0"/>
        <w:widowControl w:val="0"/>
        <w:shd w:val="clear" w:color="auto" w:fill="auto"/>
        <w:bidi w:val="0"/>
        <w:spacing w:before="0" w:after="0" w:line="288" w:lineRule="auto"/>
        <w:ind w:left="0" w:right="0" w:firstLine="520"/>
        <w:jc w:val="both"/>
      </w:pPr>
      <w:r>
        <w:rPr>
          <w:color w:val="000000"/>
          <w:spacing w:val="0"/>
          <w:w w:val="100"/>
          <w:position w:val="0"/>
          <w:shd w:val="clear" w:color="auto" w:fill="auto"/>
          <w:lang w:val="cs-CZ" w:eastAsia="cs-CZ" w:bidi="cs-CZ"/>
        </w:rPr>
        <w:t>zastoupené primátorem Bc. Janem Nadrchalem</w:t>
      </w:r>
    </w:p>
    <w:p>
      <w:pPr>
        <w:pStyle w:val="Style2"/>
        <w:keepNext w:val="0"/>
        <w:keepLines w:val="0"/>
        <w:widowControl w:val="0"/>
        <w:shd w:val="clear" w:color="auto" w:fill="auto"/>
        <w:bidi w:val="0"/>
        <w:spacing w:before="0" w:after="280" w:line="288" w:lineRule="auto"/>
        <w:ind w:left="0" w:right="0" w:firstLine="52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2")</w:t>
      </w:r>
    </w:p>
    <w:p>
      <w:pPr>
        <w:pStyle w:val="Style2"/>
        <w:keepNext w:val="0"/>
        <w:keepLines w:val="0"/>
        <w:widowControl w:val="0"/>
        <w:shd w:val="clear" w:color="auto" w:fill="auto"/>
        <w:bidi w:val="0"/>
        <w:spacing w:before="0" w:after="280" w:line="288" w:lineRule="auto"/>
        <w:ind w:left="0" w:right="0" w:firstLine="560"/>
        <w:jc w:val="both"/>
      </w:pPr>
      <w:r>
        <w:rPr>
          <w:color w:val="000000"/>
          <w:spacing w:val="0"/>
          <w:w w:val="100"/>
          <w:position w:val="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02" w:lineRule="auto"/>
        <w:ind w:left="0" w:right="0" w:firstLine="0"/>
        <w:jc w:val="both"/>
      </w:pPr>
      <w:r>
        <w:rPr>
          <w:b/>
          <w:bCs/>
          <w:color w:val="000000"/>
          <w:spacing w:val="0"/>
          <w:w w:val="100"/>
          <w:position w:val="0"/>
          <w:sz w:val="19"/>
          <w:szCs w:val="19"/>
          <w:shd w:val="clear" w:color="auto" w:fill="auto"/>
          <w:lang w:val="cs-CZ" w:eastAsia="cs-CZ" w:bidi="cs-CZ"/>
        </w:rPr>
        <w:t xml:space="preserve">Sehnoutková Miloslava, </w:t>
      </w:r>
      <w:r>
        <w:rPr>
          <w:color w:val="000000"/>
          <w:spacing w:val="0"/>
          <w:w w:val="100"/>
          <w:position w:val="0"/>
          <w:shd w:val="clear" w:color="auto" w:fill="auto"/>
          <w:lang w:val="cs-CZ" w:eastAsia="cs-CZ" w:bidi="cs-CZ"/>
        </w:rPr>
        <w:t>RČ: 73</w:t>
      </w:r>
    </w:p>
    <w:p>
      <w:pPr>
        <w:pStyle w:val="Style2"/>
        <w:keepNext w:val="0"/>
        <w:keepLines w:val="0"/>
        <w:widowControl w:val="0"/>
        <w:shd w:val="clear" w:color="auto" w:fill="auto"/>
        <w:tabs>
          <w:tab w:pos="3634" w:val="left"/>
        </w:tabs>
        <w:bidi w:val="0"/>
        <w:spacing w:before="0" w:after="280" w:line="288" w:lineRule="auto"/>
        <w:ind w:left="0" w:right="0" w:firstLine="520"/>
        <w:jc w:val="both"/>
      </w:pPr>
      <w:r>
        <w:rPr>
          <w:color w:val="000000"/>
          <w:spacing w:val="0"/>
          <w:w w:val="100"/>
          <w:position w:val="0"/>
          <w:shd w:val="clear" w:color="auto" w:fill="auto"/>
          <w:lang w:val="cs-CZ" w:eastAsia="cs-CZ" w:bidi="cs-CZ"/>
        </w:rPr>
        <w:t>bytem</w:t>
        <w:tab/>
        <w:t>530 02 Pardubice</w:t>
      </w:r>
    </w:p>
    <w:p>
      <w:pPr>
        <w:pStyle w:val="Style2"/>
        <w:keepNext w:val="0"/>
        <w:keepLines w:val="0"/>
        <w:widowControl w:val="0"/>
        <w:shd w:val="clear" w:color="auto" w:fill="auto"/>
        <w:bidi w:val="0"/>
        <w:spacing w:before="0" w:after="0" w:line="288" w:lineRule="auto"/>
        <w:ind w:left="0" w:right="0" w:firstLine="52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after="280" w:line="288" w:lineRule="auto"/>
        <w:ind w:left="0" w:right="0" w:firstLine="520"/>
        <w:jc w:val="both"/>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after="280" w:line="288" w:lineRule="auto"/>
        <w:ind w:left="0" w:right="0" w:firstLine="520"/>
        <w:jc w:val="both"/>
      </w:pPr>
      <w:r>
        <w:rPr>
          <w:color w:val="000000"/>
          <w:spacing w:val="0"/>
          <w:w w:val="100"/>
          <w:position w:val="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0" w:line="302"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after="280" w:line="302"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684" w:val="left"/>
        </w:tabs>
        <w:bidi w:val="0"/>
        <w:spacing w:before="0" w:after="280"/>
        <w:ind w:left="0" w:right="0" w:firstLine="0"/>
        <w:jc w:val="both"/>
      </w:pPr>
      <w:r>
        <w:rPr>
          <w:color w:val="000000"/>
          <w:spacing w:val="0"/>
          <w:w w:val="100"/>
          <w:position w:val="0"/>
          <w:shd w:val="clear" w:color="auto" w:fill="auto"/>
          <w:lang w:val="cs-CZ" w:eastAsia="cs-CZ" w:bidi="cs-CZ"/>
        </w:rPr>
        <w:t xml:space="preserve">Smluvní strany uzavřely dne 01.08.2022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684" w:val="left"/>
        </w:tabs>
        <w:bidi w:val="0"/>
        <w:spacing w:before="0" w:after="280"/>
        <w:ind w:left="0" w:right="0" w:firstLine="0"/>
        <w:jc w:val="both"/>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2"/>
        <w:keepNext w:val="0"/>
        <w:keepLines w:val="0"/>
        <w:widowControl w:val="0"/>
        <w:numPr>
          <w:ilvl w:val="0"/>
          <w:numId w:val="3"/>
        </w:numPr>
        <w:shd w:val="clear" w:color="auto" w:fill="auto"/>
        <w:tabs>
          <w:tab w:pos="780" w:val="left"/>
        </w:tabs>
        <w:bidi w:val="0"/>
        <w:spacing w:before="0" w:after="380" w:line="240" w:lineRule="auto"/>
        <w:ind w:left="0" w:right="0" w:firstLine="460"/>
        <w:jc w:val="both"/>
        <w:rPr>
          <w:sz w:val="19"/>
          <w:szCs w:val="19"/>
        </w:rPr>
      </w:pPr>
      <w:r>
        <w:rPr>
          <w:b/>
          <w:bCs/>
          <w:color w:val="000000"/>
          <w:spacing w:val="0"/>
          <w:w w:val="100"/>
          <w:position w:val="0"/>
          <w:sz w:val="19"/>
          <w:szCs w:val="19"/>
          <w:shd w:val="clear" w:color="auto" w:fill="auto"/>
          <w:lang w:val="cs-CZ" w:eastAsia="cs-CZ" w:bidi="cs-CZ"/>
        </w:rPr>
        <w:t>Bytová jednotka</w:t>
      </w:r>
    </w:p>
    <w:p>
      <w:pPr>
        <w:pStyle w:val="Style2"/>
        <w:keepNext w:val="0"/>
        <w:keepLines w:val="0"/>
        <w:widowControl w:val="0"/>
        <w:shd w:val="clear" w:color="auto" w:fill="auto"/>
        <w:bidi w:val="0"/>
        <w:spacing w:before="0" w:after="0"/>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bytová jednotka č. 2739/213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ve 2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2835/2990607;</w:t>
      </w:r>
    </w:p>
    <w:p>
      <w:pPr>
        <w:pStyle w:val="Style2"/>
        <w:keepNext w:val="0"/>
        <w:keepLines w:val="0"/>
        <w:widowControl w:val="0"/>
        <w:shd w:val="clear" w:color="auto" w:fill="auto"/>
        <w:bidi w:val="0"/>
        <w:spacing w:before="0" w:after="0"/>
        <w:ind w:left="400" w:right="0" w:firstLine="2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840" w:line="286" w:lineRule="auto"/>
        <w:ind w:left="400" w:right="0" w:firstLine="2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2835/2990607 jako „Předmět převodu 1").</w:t>
      </w:r>
    </w:p>
    <w:p>
      <w:pPr>
        <w:pStyle w:val="Style2"/>
        <w:keepNext w:val="0"/>
        <w:keepLines w:val="0"/>
        <w:widowControl w:val="0"/>
        <w:shd w:val="clear" w:color="auto" w:fill="auto"/>
        <w:bidi w:val="0"/>
        <w:spacing w:before="0" w:after="320" w:line="269" w:lineRule="auto"/>
        <w:ind w:left="400" w:right="0" w:hanging="400"/>
        <w:jc w:val="left"/>
      </w:pPr>
      <w:r>
        <w:rPr>
          <w:color w:val="000000"/>
          <w:spacing w:val="0"/>
          <w:w w:val="100"/>
          <w:position w:val="0"/>
          <w:shd w:val="clear" w:color="auto" w:fill="auto"/>
          <w:lang w:val="cs-CZ" w:eastAsia="cs-CZ" w:bidi="cs-CZ"/>
        </w:rPr>
        <w:t xml:space="preserve">1.3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numPr>
          <w:ilvl w:val="0"/>
          <w:numId w:val="3"/>
        </w:numPr>
        <w:shd w:val="clear" w:color="auto" w:fill="auto"/>
        <w:tabs>
          <w:tab w:pos="322" w:val="left"/>
        </w:tabs>
        <w:bidi w:val="0"/>
        <w:spacing w:before="0" w:after="320" w:line="283"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Garážové stání</w:t>
      </w:r>
    </w:p>
    <w:p>
      <w:pPr>
        <w:pStyle w:val="Style2"/>
        <w:keepNext w:val="0"/>
        <w:keepLines w:val="0"/>
        <w:widowControl w:val="0"/>
        <w:shd w:val="clear" w:color="auto" w:fill="auto"/>
        <w:bidi w:val="0"/>
        <w:spacing w:before="0" w:after="1240" w:line="269" w:lineRule="auto"/>
        <w:ind w:left="0" w:right="0" w:firstLine="0"/>
        <w:jc w:val="left"/>
      </w:pPr>
      <w:r>
        <w:rPr>
          <w:color w:val="000000"/>
          <w:spacing w:val="0"/>
          <w:w w:val="100"/>
          <w:position w:val="0"/>
          <w:shd w:val="clear" w:color="auto" w:fill="auto"/>
          <w:lang w:val="cs-CZ" w:eastAsia="cs-CZ" w:bidi="cs-CZ"/>
        </w:rPr>
        <w:t>Záměrně nevyplněno - neprodává se.</w:t>
      </w:r>
    </w:p>
    <w:p>
      <w:pPr>
        <w:pStyle w:val="Style2"/>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5"/>
        </w:numPr>
        <w:shd w:val="clear" w:color="auto" w:fill="auto"/>
        <w:tabs>
          <w:tab w:pos="392" w:val="left"/>
        </w:tabs>
        <w:bidi w:val="0"/>
        <w:spacing w:before="0" w:after="1240" w:line="283" w:lineRule="auto"/>
        <w:ind w:left="0" w:right="0" w:firstLine="0"/>
        <w:jc w:val="both"/>
      </w:pPr>
      <w:r>
        <w:rPr>
          <w:b/>
          <w:bCs/>
          <w:color w:val="000000"/>
          <w:spacing w:val="0"/>
          <w:w w:val="100"/>
          <w:position w:val="0"/>
          <w:sz w:val="19"/>
          <w:szCs w:val="19"/>
          <w:shd w:val="clear" w:color="auto" w:fill="auto"/>
          <w:lang w:val="cs-CZ" w:eastAsia="cs-CZ" w:bidi="cs-CZ"/>
        </w:rPr>
        <w:t xml:space="preserve">Prodávající 2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1 566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5"/>
        </w:numPr>
        <w:shd w:val="clear" w:color="auto" w:fill="auto"/>
        <w:tabs>
          <w:tab w:pos="385" w:val="left"/>
        </w:tabs>
        <w:bidi w:val="0"/>
        <w:spacing w:before="0" w:after="320" w:line="283" w:lineRule="auto"/>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407 876,-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413" w:val="left"/>
        </w:tabs>
        <w:bidi w:val="0"/>
        <w:spacing w:before="0" w:after="900" w:line="240" w:lineRule="auto"/>
        <w:ind w:left="0" w:right="0" w:firstLine="0"/>
        <w:jc w:val="both"/>
      </w:pPr>
      <w:r>
        <w:rPr>
          <w:color w:val="000000"/>
          <w:spacing w:val="0"/>
          <w:w w:val="100"/>
          <w:position w:val="0"/>
          <w:shd w:val="clear" w:color="auto" w:fill="auto"/>
          <w:lang w:val="cs-CZ" w:eastAsia="cs-CZ" w:bidi="cs-CZ"/>
        </w:rPr>
        <w:t>Záměrně nevyplněno - neprodává se.</w:t>
      </w:r>
    </w:p>
    <w:p>
      <w:pPr>
        <w:pStyle w:val="Style2"/>
        <w:keepNext w:val="0"/>
        <w:keepLines w:val="0"/>
        <w:widowControl w:val="0"/>
        <w:numPr>
          <w:ilvl w:val="1"/>
          <w:numId w:val="5"/>
        </w:numPr>
        <w:shd w:val="clear" w:color="auto" w:fill="auto"/>
        <w:tabs>
          <w:tab w:pos="413" w:val="left"/>
        </w:tabs>
        <w:bidi w:val="0"/>
        <w:spacing w:before="0" w:after="1120"/>
        <w:ind w:left="0" w:right="0" w:firstLine="0"/>
        <w:jc w:val="both"/>
      </w:pPr>
      <w:r>
        <w:rPr>
          <w:color w:val="000000"/>
          <w:spacing w:val="0"/>
          <w:w w:val="100"/>
          <w:position w:val="0"/>
          <w:shd w:val="clear" w:color="auto" w:fill="auto"/>
          <w:lang w:val="cs-CZ" w:eastAsia="cs-CZ" w:bidi="cs-CZ"/>
        </w:rP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lil.</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2"/>
        <w:keepNext w:val="0"/>
        <w:keepLines w:val="0"/>
        <w:widowControl w:val="0"/>
        <w:shd w:val="clear" w:color="auto" w:fill="auto"/>
        <w:bidi w:val="0"/>
        <w:spacing w:before="0" w:after="1120"/>
        <w:ind w:left="0" w:right="0" w:firstLine="0"/>
        <w:jc w:val="both"/>
      </w:pPr>
      <w:r>
        <w:rPr>
          <w:color w:val="000000"/>
          <w:spacing w:val="0"/>
          <w:w w:val="100"/>
          <w:position w:val="0"/>
          <w:shd w:val="clear" w:color="auto" w:fill="auto"/>
          <w:lang w:val="cs-CZ" w:eastAsia="cs-CZ" w:bidi="cs-CZ"/>
        </w:rPr>
        <w:t>3.1 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2"/>
        <w:keepNext w:val="0"/>
        <w:keepLines w:val="0"/>
        <w:widowControl w:val="0"/>
        <w:numPr>
          <w:ilvl w:val="1"/>
          <w:numId w:val="7"/>
        </w:numPr>
        <w:shd w:val="clear" w:color="auto" w:fill="auto"/>
        <w:tabs>
          <w:tab w:pos="413" w:val="left"/>
        </w:tabs>
        <w:bidi w:val="0"/>
        <w:spacing w:before="0" w:after="1280"/>
        <w:ind w:left="0" w:right="0" w:firstLine="0"/>
        <w:jc w:val="both"/>
      </w:pPr>
      <w:r>
        <w:rPr>
          <w:color w:val="000000"/>
          <w:spacing w:val="0"/>
          <w:w w:val="100"/>
          <w:position w:val="0"/>
          <w:shd w:val="clear" w:color="auto" w:fill="auto"/>
          <w:lang w:val="cs-CZ" w:eastAsia="cs-CZ" w:bidi="cs-CZ"/>
        </w:rP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7"/>
        </w:numPr>
        <w:shd w:val="clear" w:color="auto" w:fill="auto"/>
        <w:tabs>
          <w:tab w:pos="413" w:val="left"/>
        </w:tabs>
        <w:bidi w:val="0"/>
        <w:spacing w:before="0"/>
        <w:ind w:left="0" w:right="0" w:firstLine="0"/>
        <w:jc w:val="both"/>
      </w:pPr>
      <w:r>
        <w:rPr>
          <w:color w:val="000000"/>
          <w:spacing w:val="0"/>
          <w:w w:val="100"/>
          <w:position w:val="0"/>
          <w:shd w:val="clear" w:color="auto" w:fill="auto"/>
          <w:lang w:val="cs-CZ" w:eastAsia="cs-CZ" w:bidi="cs-CZ"/>
        </w:rP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7"/>
        </w:numPr>
        <w:shd w:val="clear" w:color="auto" w:fill="auto"/>
        <w:tabs>
          <w:tab w:pos="413" w:val="left"/>
        </w:tabs>
        <w:bidi w:val="0"/>
        <w:spacing w:before="0" w:after="420"/>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 </w:t>
      </w:r>
      <w:r>
        <w:rPr>
          <w:color w:val="000000"/>
          <w:spacing w:val="0"/>
          <w:w w:val="100"/>
          <w:position w:val="0"/>
          <w:shd w:val="clear" w:color="auto" w:fill="auto"/>
          <w:lang w:val="cs-CZ" w:eastAsia="cs-CZ" w:bidi="cs-CZ"/>
        </w:rPr>
        <w:t>nejsou známy faktické ani skryté vady Předmětu převodu 1 a pro případ že takové existují, se vzdává případných nároků z titulu práva z vad.</w:t>
      </w:r>
    </w:p>
    <w:p>
      <w:pPr>
        <w:pStyle w:val="Style2"/>
        <w:keepNext w:val="0"/>
        <w:keepLines w:val="0"/>
        <w:widowControl w:val="0"/>
        <w:numPr>
          <w:ilvl w:val="1"/>
          <w:numId w:val="7"/>
        </w:numPr>
        <w:shd w:val="clear" w:color="auto" w:fill="auto"/>
        <w:tabs>
          <w:tab w:pos="399" w:val="left"/>
        </w:tabs>
        <w:bidi w:val="0"/>
        <w:spacing w:before="0" w:after="28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2738,2739,2740 Pardubice, a se všemi povinnostmi z těchto stanov vyplývajícími.</w:t>
      </w:r>
    </w:p>
    <w:p>
      <w:pPr>
        <w:pStyle w:val="Style2"/>
        <w:keepNext w:val="0"/>
        <w:keepLines w:val="0"/>
        <w:widowControl w:val="0"/>
        <w:numPr>
          <w:ilvl w:val="1"/>
          <w:numId w:val="7"/>
        </w:numPr>
        <w:shd w:val="clear" w:color="auto" w:fill="auto"/>
        <w:tabs>
          <w:tab w:pos="399" w:val="left"/>
        </w:tabs>
        <w:bidi w:val="0"/>
        <w:spacing w:before="0" w:after="420"/>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7"/>
        </w:numPr>
        <w:shd w:val="clear" w:color="auto" w:fill="auto"/>
        <w:tabs>
          <w:tab w:pos="399" w:val="left"/>
        </w:tabs>
        <w:bidi w:val="0"/>
        <w:spacing w:before="0" w:after="580"/>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after="28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2"/>
        <w:keepNext w:val="0"/>
        <w:keepLines w:val="0"/>
        <w:widowControl w:val="0"/>
        <w:numPr>
          <w:ilvl w:val="1"/>
          <w:numId w:val="9"/>
        </w:numPr>
        <w:shd w:val="clear" w:color="auto" w:fill="auto"/>
        <w:tabs>
          <w:tab w:pos="392" w:val="left"/>
        </w:tabs>
        <w:bidi w:val="0"/>
        <w:spacing w:before="0" w:after="280"/>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na základě nájemní smlouvy, která zanikne okamžikem převodu vlastnického práva k Předmětu převodu 1 ve prospěch kupujícího.</w:t>
      </w:r>
    </w:p>
    <w:p>
      <w:pPr>
        <w:pStyle w:val="Style2"/>
        <w:keepNext w:val="0"/>
        <w:keepLines w:val="0"/>
        <w:widowControl w:val="0"/>
        <w:numPr>
          <w:ilvl w:val="1"/>
          <w:numId w:val="9"/>
        </w:numPr>
        <w:shd w:val="clear" w:color="auto" w:fill="auto"/>
        <w:tabs>
          <w:tab w:pos="392" w:val="left"/>
        </w:tabs>
        <w:bidi w:val="0"/>
        <w:spacing w:before="0" w:after="280" w:line="295" w:lineRule="auto"/>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došlo před podpisem této smlouvy.</w:t>
      </w:r>
    </w:p>
    <w:p>
      <w:pPr>
        <w:pStyle w:val="Style2"/>
        <w:keepNext w:val="0"/>
        <w:keepLines w:val="0"/>
        <w:widowControl w:val="0"/>
        <w:numPr>
          <w:ilvl w:val="1"/>
          <w:numId w:val="9"/>
        </w:numPr>
        <w:shd w:val="clear" w:color="auto" w:fill="auto"/>
        <w:tabs>
          <w:tab w:pos="392" w:val="left"/>
        </w:tabs>
        <w:bidi w:val="0"/>
        <w:spacing w:before="0" w:after="42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9"/>
        </w:numPr>
        <w:shd w:val="clear" w:color="auto" w:fill="auto"/>
        <w:tabs>
          <w:tab w:pos="406" w:val="left"/>
        </w:tabs>
        <w:bidi w:val="0"/>
        <w:spacing w:before="0" w:after="360"/>
        <w:ind w:left="0" w:right="0" w:firstLine="0"/>
        <w:jc w:val="left"/>
      </w:pPr>
      <w:r>
        <w:rPr>
          <w:color w:val="000000"/>
          <w:spacing w:val="0"/>
          <w:w w:val="100"/>
          <w:position w:val="0"/>
          <w:shd w:val="clear" w:color="auto" w:fill="auto"/>
          <w:lang w:val="cs-CZ" w:eastAsia="cs-CZ" w:bidi="cs-CZ"/>
        </w:rP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after="28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2"/>
        <w:keepNext w:val="0"/>
        <w:keepLines w:val="0"/>
        <w:widowControl w:val="0"/>
        <w:numPr>
          <w:ilvl w:val="1"/>
          <w:numId w:val="11"/>
        </w:numPr>
        <w:shd w:val="clear" w:color="auto" w:fill="auto"/>
        <w:tabs>
          <w:tab w:pos="396" w:val="left"/>
        </w:tabs>
        <w:bidi w:val="0"/>
        <w:spacing w:before="0" w:after="280"/>
        <w:ind w:left="0" w:right="0" w:firstLine="0"/>
        <w:jc w:val="both"/>
      </w:pPr>
      <w:r>
        <w:rPr>
          <w:color w:val="000000"/>
          <w:spacing w:val="0"/>
          <w:w w:val="100"/>
          <w:position w:val="0"/>
          <w:shd w:val="clear" w:color="auto" w:fill="auto"/>
          <w:lang w:val="cs-CZ" w:eastAsia="cs-CZ" w:bidi="cs-CZ"/>
        </w:rPr>
        <w:t>Smluvní strany berou na vědomí, že vlastnictví k Předmětu převodu 1 přechází na kupujícího provedením vkladu vlastnického práva k Předmětu převodu 1, a to zpětně, ke dni podání návrhu na vklad.</w:t>
      </w:r>
    </w:p>
    <w:p>
      <w:pPr>
        <w:pStyle w:val="Style2"/>
        <w:keepNext w:val="0"/>
        <w:keepLines w:val="0"/>
        <w:widowControl w:val="0"/>
        <w:numPr>
          <w:ilvl w:val="1"/>
          <w:numId w:val="11"/>
        </w:numPr>
        <w:shd w:val="clear" w:color="auto" w:fill="auto"/>
        <w:tabs>
          <w:tab w:pos="396" w:val="left"/>
        </w:tabs>
        <w:bidi w:val="0"/>
        <w:spacing w:before="0" w:after="28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Ido katastru nemovitostí nese kupující.</w:t>
      </w:r>
    </w:p>
    <w:p>
      <w:pPr>
        <w:pStyle w:val="Style2"/>
        <w:keepNext w:val="0"/>
        <w:keepLines w:val="0"/>
        <w:widowControl w:val="0"/>
        <w:numPr>
          <w:ilvl w:val="1"/>
          <w:numId w:val="11"/>
        </w:numPr>
        <w:shd w:val="clear" w:color="auto" w:fill="auto"/>
        <w:tabs>
          <w:tab w:pos="385" w:val="left"/>
        </w:tabs>
        <w:bidi w:val="0"/>
        <w:spacing w:before="0" w:after="28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11"/>
        </w:numPr>
        <w:shd w:val="clear" w:color="auto" w:fill="auto"/>
        <w:tabs>
          <w:tab w:pos="403" w:val="left"/>
        </w:tabs>
        <w:bidi w:val="0"/>
        <w:spacing w:before="0" w:after="44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VIL</w:t>
      </w:r>
    </w:p>
    <w:p>
      <w:pPr>
        <w:pStyle w:val="Style2"/>
        <w:keepNext w:val="0"/>
        <w:keepLines w:val="0"/>
        <w:widowControl w:val="0"/>
        <w:shd w:val="clear" w:color="auto" w:fill="auto"/>
        <w:bidi w:val="0"/>
        <w:spacing w:before="0" w:after="28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392" w:val="left"/>
        </w:tabs>
        <w:bidi w:val="0"/>
        <w:spacing w:before="0" w:after="280"/>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3"/>
        </w:numPr>
        <w:shd w:val="clear" w:color="auto" w:fill="auto"/>
        <w:tabs>
          <w:tab w:pos="392" w:val="left"/>
        </w:tabs>
        <w:bidi w:val="0"/>
        <w:spacing w:before="0" w:after="280"/>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3"/>
        </w:numPr>
        <w:shd w:val="clear" w:color="auto" w:fill="auto"/>
        <w:tabs>
          <w:tab w:pos="396" w:val="left"/>
        </w:tabs>
        <w:bidi w:val="0"/>
        <w:spacing w:before="0" w:after="440"/>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3"/>
        </w:numPr>
        <w:shd w:val="clear" w:color="auto" w:fill="auto"/>
        <w:tabs>
          <w:tab w:pos="406" w:val="left"/>
        </w:tabs>
        <w:bidi w:val="0"/>
        <w:spacing w:before="0" w:after="440" w:line="271" w:lineRule="auto"/>
        <w:ind w:left="0" w:right="0" w:firstLine="0"/>
        <w:jc w:val="left"/>
      </w:pPr>
      <w:r>
        <w:rPr>
          <w:color w:val="000000"/>
          <w:spacing w:val="0"/>
          <w:w w:val="100"/>
          <w:position w:val="0"/>
          <w:shd w:val="clear" w:color="auto" w:fill="auto"/>
          <w:lang w:val="cs-CZ" w:eastAsia="cs-CZ" w:bidi="cs-CZ"/>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3"/>
        </w:numPr>
        <w:shd w:val="clear" w:color="auto" w:fill="auto"/>
        <w:tabs>
          <w:tab w:pos="392" w:val="left"/>
        </w:tabs>
        <w:bidi w:val="0"/>
        <w:spacing w:before="0" w:after="240"/>
        <w:ind w:left="0" w:right="0" w:firstLine="0"/>
        <w:jc w:val="left"/>
      </w:pPr>
      <w:r>
        <w:rPr>
          <w:color w:val="000000"/>
          <w:spacing w:val="0"/>
          <w:w w:val="100"/>
          <w:position w:val="0"/>
          <w:shd w:val="clear" w:color="auto" w:fill="auto"/>
          <w:lang w:val="cs-CZ" w:eastAsia="cs-CZ" w:bidi="cs-CZ"/>
        </w:rPr>
        <w:t xml:space="preserve">Smluvní strany shodně prohlašují, že si tuto smlouvu před jejím podpisem přečetly, že byla uzavřena po vzájemném projednání, podle jejich pravé a svobodné vůle, určitě, vážně a srozumitelně, </w:t>
      </w:r>
      <w:r>
        <w:rPr>
          <w:color w:val="000000"/>
          <w:spacing w:val="0"/>
          <w:w w:val="100"/>
          <w:position w:val="0"/>
          <w:shd w:val="clear" w:color="auto" w:fill="auto"/>
          <w:lang w:val="cs-CZ" w:eastAsia="cs-CZ" w:bidi="cs-CZ"/>
        </w:rPr>
        <w:t>nikoliv v tísni či za nápadně nevýhodných podmínek, na důkaz čehož připojují své vlastnoruční podpisy.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 usnesením ZmP č. Z/1315/2024 ze dne 27.05.2024</w:t>
      </w:r>
    </w:p>
    <w:p>
      <w:pPr>
        <w:pStyle w:val="Style2"/>
        <w:keepNext w:val="0"/>
        <w:keepLines w:val="0"/>
        <w:widowControl w:val="0"/>
        <w:shd w:val="clear" w:color="auto" w:fill="auto"/>
        <w:bidi w:val="0"/>
        <w:spacing w:before="0" w:after="2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Záměr byl zveřejněn na úřední desce a elektronické úřední desce Magistrátu města Pardubic: vyvěšeno dne: 10.04.2024 svěšeno dne: 26.04.2024</w:t>
      </w:r>
    </w:p>
    <w:p>
      <w:pPr>
        <w:pStyle w:val="Style2"/>
        <w:keepNext w:val="0"/>
        <w:keepLines w:val="0"/>
        <w:widowControl w:val="0"/>
        <w:shd w:val="clear" w:color="auto" w:fill="auto"/>
        <w:tabs>
          <w:tab w:leader="dot" w:pos="1966" w:val="left"/>
        </w:tabs>
        <w:bidi w:val="0"/>
        <w:spacing w:before="0" w:after="340" w:line="228" w:lineRule="auto"/>
        <w:ind w:left="0" w:right="0" w:firstLine="0"/>
        <w:jc w:val="left"/>
        <w:rPr>
          <w:sz w:val="34"/>
          <w:szCs w:val="34"/>
        </w:rPr>
      </w:pPr>
      <w:r>
        <w:rPr>
          <w:color w:val="000000"/>
          <w:spacing w:val="0"/>
          <w:w w:val="100"/>
          <w:position w:val="0"/>
          <w:sz w:val="20"/>
          <w:szCs w:val="20"/>
          <w:shd w:val="clear" w:color="auto" w:fill="auto"/>
          <w:lang w:val="cs-CZ" w:eastAsia="cs-CZ" w:bidi="cs-CZ"/>
        </w:rPr>
        <w:t>V Pardubicích, dne</w:t>
        <w:tab/>
      </w:r>
      <w:r>
        <w:rPr>
          <w:color w:val="000000"/>
          <w:spacing w:val="0"/>
          <w:w w:val="100"/>
          <w:position w:val="0"/>
          <w:sz w:val="34"/>
          <w:szCs w:val="34"/>
          <w:shd w:val="clear" w:color="auto" w:fill="auto"/>
          <w:lang w:val="cs-CZ" w:eastAsia="cs-CZ" w:bidi="cs-CZ"/>
        </w:rPr>
        <w:t>2.2..:D1:.®25</w:t>
      </w:r>
    </w:p>
    <w:p>
      <w:pPr>
        <w:pStyle w:val="Style2"/>
        <w:keepNext w:val="0"/>
        <w:keepLines w:val="0"/>
        <w:widowControl w:val="0"/>
        <w:shd w:val="clear" w:color="auto" w:fill="auto"/>
        <w:bidi w:val="0"/>
        <w:spacing w:before="0" w:after="88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4029710</wp:posOffset>
                </wp:positionH>
                <wp:positionV relativeFrom="paragraph">
                  <wp:posOffset>12700</wp:posOffset>
                </wp:positionV>
                <wp:extent cx="560070" cy="178435"/>
                <wp:wrapSquare wrapText="left"/>
                <wp:docPr id="3" name="Shape 3"/>
                <a:graphic xmlns:a="http://schemas.openxmlformats.org/drawingml/2006/main">
                  <a:graphicData uri="http://schemas.microsoft.com/office/word/2010/wordprocessingShape">
                    <wps:wsp>
                      <wps:cNvSpPr txBox="1"/>
                      <wps:spPr>
                        <a:xfrm>
                          <a:ext cx="560070" cy="1784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29" type="#_x0000_t202" style="position:absolute;margin-left:317.30000000000001pt;margin-top:1.pt;width:44.100000000000001pt;height:14.05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družstvo POSEIDON</w:t>
      </w:r>
    </w:p>
    <w:p>
      <w:pPr>
        <w:pStyle w:val="Style13"/>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p>
      <w:pPr>
        <w:pStyle w:val="Style2"/>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3"/>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footerReference w:type="default" r:id="rId5"/>
      <w:footnotePr>
        <w:pos w:val="pageBottom"/>
        <w:numFmt w:val="decimal"/>
        <w:numRestart w:val="continuous"/>
      </w:footnotePr>
      <w:pgSz w:w="11900" w:h="16840"/>
      <w:pgMar w:top="1407" w:right="1130" w:bottom="1413" w:left="1562" w:header="97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3890645</wp:posOffset>
              </wp:positionH>
              <wp:positionV relativeFrom="page">
                <wp:posOffset>10352405</wp:posOffset>
              </wp:positionV>
              <wp:extent cx="54610" cy="86995"/>
              <wp:wrapNone/>
              <wp:docPr id="5" name="Shape 5"/>
              <a:graphic xmlns:a="http://schemas.openxmlformats.org/drawingml/2006/main">
                <a:graphicData uri="http://schemas.microsoft.com/office/word/2010/wordprocessingShape">
                  <wps:wsp>
                    <wps:cNvSpPr txBox="1"/>
                    <wps:spPr>
                      <a:xfrm>
                        <a:ext cx="54610" cy="869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306.35000000000002pt;margin-top:815.14999999999998pt;width:4.2999999999999998pt;height:6.850000000000000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4"/>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6">
    <w:name w:val="Záhlaví nebo zápatí_"/>
    <w:basedOn w:val="DefaultParagraphFont"/>
    <w:link w:val="Style5"/>
    <w:rPr>
      <w:rFonts w:ascii="Cambria" w:eastAsia="Cambria" w:hAnsi="Cambria" w:cs="Cambria"/>
      <w:b w:val="0"/>
      <w:bCs w:val="0"/>
      <w:i w:val="0"/>
      <w:iCs w:val="0"/>
      <w:smallCaps w:val="0"/>
      <w:strike w:val="0"/>
      <w:sz w:val="20"/>
      <w:szCs w:val="20"/>
      <w:u w:val="none"/>
    </w:rPr>
  </w:style>
  <w:style w:type="character" w:customStyle="1" w:styleId="CharStyle9">
    <w:name w:val="Nadpis #1_"/>
    <w:basedOn w:val="DefaultParagraphFont"/>
    <w:link w:val="Style8"/>
    <w:rPr>
      <w:rFonts w:ascii="Calibri" w:eastAsia="Calibri" w:hAnsi="Calibri" w:cs="Calibri"/>
      <w:b/>
      <w:bCs/>
      <w:i w:val="0"/>
      <w:iCs w:val="0"/>
      <w:smallCaps w:val="0"/>
      <w:strike w:val="0"/>
      <w:sz w:val="30"/>
      <w:szCs w:val="30"/>
      <w:u w:val="none"/>
    </w:rPr>
  </w:style>
  <w:style w:type="character" w:customStyle="1" w:styleId="CharStyle14">
    <w:name w:val="Základní text (5)_"/>
    <w:basedOn w:val="DefaultParagraphFont"/>
    <w:link w:val="Style13"/>
    <w:rPr>
      <w:rFonts w:ascii="Arial" w:eastAsia="Arial" w:hAnsi="Arial" w:cs="Arial"/>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300" w:line="276" w:lineRule="auto"/>
    </w:pPr>
    <w:rPr>
      <w:rFonts w:ascii="Cambria" w:eastAsia="Cambria" w:hAnsi="Cambria" w:cs="Cambria"/>
      <w:b w:val="0"/>
      <w:bCs w:val="0"/>
      <w:i w:val="0"/>
      <w:iCs w:val="0"/>
      <w:smallCaps w:val="0"/>
      <w:strike w:val="0"/>
      <w:sz w:val="20"/>
      <w:szCs w:val="20"/>
      <w:u w:val="none"/>
    </w:rPr>
  </w:style>
  <w:style w:type="paragraph" w:customStyle="1" w:styleId="Style5">
    <w:name w:val="Záhlaví nebo zápatí"/>
    <w:basedOn w:val="Normal"/>
    <w:link w:val="CharStyle6"/>
    <w:pPr>
      <w:widowControl w:val="0"/>
      <w:shd w:val="clear" w:color="auto" w:fill="auto"/>
    </w:pPr>
    <w:rPr>
      <w:rFonts w:ascii="Cambria" w:eastAsia="Cambria" w:hAnsi="Cambria" w:cs="Cambria"/>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auto"/>
      <w:outlineLvl w:val="0"/>
    </w:pPr>
    <w:rPr>
      <w:rFonts w:ascii="Calibri" w:eastAsia="Calibri" w:hAnsi="Calibri" w:cs="Calibri"/>
      <w:b/>
      <w:bCs/>
      <w:i w:val="0"/>
      <w:iCs w:val="0"/>
      <w:smallCaps w:val="0"/>
      <w:strike w:val="0"/>
      <w:sz w:val="30"/>
      <w:szCs w:val="30"/>
      <w:u w:val="none"/>
    </w:rPr>
  </w:style>
  <w:style w:type="paragraph" w:customStyle="1" w:styleId="Style13">
    <w:name w:val="Základní text (5)"/>
    <w:basedOn w:val="Normal"/>
    <w:link w:val="CharStyle14"/>
    <w:pPr>
      <w:widowControl w:val="0"/>
      <w:shd w:val="clear" w:color="auto" w:fill="auto"/>
      <w:spacing w:after="29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