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8014" w14:textId="1F335E65" w:rsidR="000E2704" w:rsidRDefault="00637679" w:rsidP="004F34C4">
      <w:pPr>
        <w:pStyle w:val="Nzev"/>
        <w:ind w:firstLine="126"/>
      </w:pPr>
      <w:r>
        <w:t xml:space="preserve">PŘÍKAZNÍ SMLOUVA č. </w:t>
      </w:r>
      <w:r w:rsidRPr="001B7732">
        <w:t>00</w:t>
      </w:r>
      <w:r w:rsidR="001B7732">
        <w:t>3</w:t>
      </w:r>
      <w:r>
        <w:t>/25</w:t>
      </w:r>
    </w:p>
    <w:p w14:paraId="7D99313D" w14:textId="77777777" w:rsidR="000E2704" w:rsidRPr="008340A5" w:rsidRDefault="00637679" w:rsidP="00EC0370">
      <w:pPr>
        <w:pStyle w:val="Nadpis1"/>
        <w:spacing w:before="270" w:line="259" w:lineRule="auto"/>
        <w:ind w:right="127" w:firstLine="125"/>
        <w:rPr>
          <w:sz w:val="28"/>
          <w:szCs w:val="28"/>
        </w:rPr>
      </w:pPr>
      <w:r w:rsidRPr="008340A5">
        <w:rPr>
          <w:sz w:val="28"/>
          <w:szCs w:val="28"/>
        </w:rPr>
        <w:t>uzavřená podle § 2430 a násl. Zákona č. 89/2012 Sb., Občanský zákoník, k výkonu technického dozoru stavebníka a činnosti koordinátora BOZP při realizaci stavby na projektu</w:t>
      </w:r>
    </w:p>
    <w:p w14:paraId="75BA4193" w14:textId="77777777" w:rsidR="00CD5E5E" w:rsidRPr="008340A5" w:rsidRDefault="00637679" w:rsidP="00EC0370">
      <w:pPr>
        <w:spacing w:line="259" w:lineRule="auto"/>
        <w:ind w:left="313" w:right="313"/>
        <w:jc w:val="center"/>
        <w:rPr>
          <w:rFonts w:eastAsia="Calibri"/>
          <w:color w:val="000000"/>
          <w:sz w:val="28"/>
          <w:szCs w:val="28"/>
        </w:rPr>
      </w:pPr>
      <w:r w:rsidRPr="008340A5">
        <w:rPr>
          <w:sz w:val="28"/>
          <w:szCs w:val="28"/>
        </w:rPr>
        <w:t>„</w:t>
      </w:r>
      <w:r w:rsidR="001B7732" w:rsidRPr="008340A5">
        <w:rPr>
          <w:rFonts w:eastAsia="Calibri"/>
          <w:color w:val="000000"/>
          <w:sz w:val="28"/>
          <w:szCs w:val="28"/>
        </w:rPr>
        <w:t>Přesun a výstavba vodojemů ve středisku</w:t>
      </w:r>
    </w:p>
    <w:p w14:paraId="7902F748" w14:textId="50E17E61" w:rsidR="000E2704" w:rsidRPr="008340A5" w:rsidRDefault="001B7732" w:rsidP="00EC0370">
      <w:pPr>
        <w:spacing w:line="259" w:lineRule="auto"/>
        <w:ind w:left="313" w:right="313"/>
        <w:jc w:val="center"/>
        <w:rPr>
          <w:sz w:val="28"/>
          <w:szCs w:val="28"/>
        </w:rPr>
      </w:pPr>
      <w:r w:rsidRPr="008340A5">
        <w:rPr>
          <w:rFonts w:eastAsia="Calibri"/>
          <w:color w:val="000000"/>
          <w:sz w:val="28"/>
          <w:szCs w:val="28"/>
        </w:rPr>
        <w:t>Ruda u</w:t>
      </w:r>
      <w:r w:rsidR="00CD5E5E" w:rsidRPr="008340A5">
        <w:rPr>
          <w:rFonts w:eastAsia="Calibri"/>
          <w:color w:val="000000"/>
          <w:sz w:val="28"/>
          <w:szCs w:val="28"/>
        </w:rPr>
        <w:t> </w:t>
      </w:r>
      <w:r w:rsidRPr="008340A5">
        <w:rPr>
          <w:rFonts w:eastAsia="Calibri"/>
          <w:color w:val="000000"/>
          <w:sz w:val="28"/>
          <w:szCs w:val="28"/>
        </w:rPr>
        <w:t>Nového Strašecí</w:t>
      </w:r>
      <w:r w:rsidRPr="008340A5">
        <w:rPr>
          <w:sz w:val="28"/>
          <w:szCs w:val="28"/>
        </w:rPr>
        <w:t>“</w:t>
      </w:r>
    </w:p>
    <w:p w14:paraId="01D56FC9" w14:textId="77777777" w:rsidR="000E2704" w:rsidRDefault="00637679" w:rsidP="00EC0370">
      <w:pPr>
        <w:pStyle w:val="Nadpis2"/>
        <w:spacing w:before="160"/>
        <w:ind w:left="116" w:right="0"/>
        <w:jc w:val="both"/>
      </w:pPr>
      <w:r>
        <w:t>uzavřená mezi:</w:t>
      </w:r>
    </w:p>
    <w:p w14:paraId="742E1169" w14:textId="77777777" w:rsidR="000E2704" w:rsidRDefault="000E2704" w:rsidP="00EC0370">
      <w:pPr>
        <w:pBdr>
          <w:top w:val="nil"/>
          <w:left w:val="nil"/>
          <w:bottom w:val="nil"/>
          <w:right w:val="nil"/>
          <w:between w:val="nil"/>
        </w:pBdr>
        <w:spacing w:before="9"/>
        <w:jc w:val="both"/>
        <w:rPr>
          <w:color w:val="000000"/>
          <w:sz w:val="15"/>
          <w:szCs w:val="15"/>
        </w:rPr>
      </w:pPr>
    </w:p>
    <w:tbl>
      <w:tblPr>
        <w:tblStyle w:val="a3"/>
        <w:tblW w:w="9064" w:type="dxa"/>
        <w:tblInd w:w="126"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Look w:val="0000" w:firstRow="0" w:lastRow="0" w:firstColumn="0" w:lastColumn="0" w:noHBand="0" w:noVBand="0"/>
      </w:tblPr>
      <w:tblGrid>
        <w:gridCol w:w="2547"/>
        <w:gridCol w:w="6517"/>
      </w:tblGrid>
      <w:tr w:rsidR="000E2704" w14:paraId="139D90E9" w14:textId="77777777">
        <w:trPr>
          <w:trHeight w:val="275"/>
        </w:trPr>
        <w:tc>
          <w:tcPr>
            <w:tcW w:w="2547" w:type="dxa"/>
          </w:tcPr>
          <w:p w14:paraId="265EED79"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b/>
                <w:i/>
                <w:color w:val="000000"/>
                <w:sz w:val="24"/>
                <w:szCs w:val="24"/>
              </w:rPr>
              <w:t>Příkazce</w:t>
            </w:r>
            <w:r>
              <w:rPr>
                <w:color w:val="000000"/>
                <w:sz w:val="24"/>
                <w:szCs w:val="24"/>
              </w:rPr>
              <w:t>:</w:t>
            </w:r>
          </w:p>
        </w:tc>
        <w:tc>
          <w:tcPr>
            <w:tcW w:w="6517" w:type="dxa"/>
          </w:tcPr>
          <w:p w14:paraId="22C8FCF9" w14:textId="3820AD2A" w:rsidR="000E2704" w:rsidRPr="001B7732" w:rsidRDefault="001B7732" w:rsidP="00EC0370">
            <w:pPr>
              <w:pBdr>
                <w:top w:val="nil"/>
                <w:left w:val="nil"/>
                <w:bottom w:val="nil"/>
                <w:right w:val="nil"/>
                <w:between w:val="nil"/>
              </w:pBdr>
              <w:spacing w:line="255" w:lineRule="auto"/>
              <w:ind w:left="18" w:hanging="18"/>
              <w:jc w:val="both"/>
              <w:rPr>
                <w:color w:val="000000"/>
                <w:sz w:val="24"/>
                <w:szCs w:val="24"/>
              </w:rPr>
            </w:pPr>
            <w:r w:rsidRPr="001B7732">
              <w:rPr>
                <w:color w:val="000000"/>
                <w:sz w:val="24"/>
                <w:szCs w:val="24"/>
              </w:rPr>
              <w:t xml:space="preserve">Česká zemědělská univerzita v Praze, </w:t>
            </w:r>
            <w:r w:rsidR="008340A5">
              <w:rPr>
                <w:color w:val="000000"/>
                <w:sz w:val="24"/>
                <w:szCs w:val="24"/>
              </w:rPr>
              <w:t>Statky ČZU</w:t>
            </w:r>
          </w:p>
        </w:tc>
      </w:tr>
      <w:tr w:rsidR="000E2704" w14:paraId="5190D5E7" w14:textId="77777777">
        <w:trPr>
          <w:trHeight w:val="275"/>
        </w:trPr>
        <w:tc>
          <w:tcPr>
            <w:tcW w:w="2547" w:type="dxa"/>
          </w:tcPr>
          <w:p w14:paraId="1ECCF3D1"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IČ:</w:t>
            </w:r>
          </w:p>
        </w:tc>
        <w:tc>
          <w:tcPr>
            <w:tcW w:w="6517" w:type="dxa"/>
          </w:tcPr>
          <w:p w14:paraId="37B2631B" w14:textId="6D91BC5C" w:rsidR="000E2704" w:rsidRPr="001B7732" w:rsidRDefault="001B7732" w:rsidP="00EC0370">
            <w:pPr>
              <w:pBdr>
                <w:top w:val="nil"/>
                <w:left w:val="nil"/>
                <w:bottom w:val="nil"/>
                <w:right w:val="nil"/>
                <w:between w:val="nil"/>
              </w:pBdr>
              <w:spacing w:line="255" w:lineRule="auto"/>
              <w:ind w:firstLine="18"/>
              <w:jc w:val="both"/>
              <w:rPr>
                <w:color w:val="000000"/>
                <w:sz w:val="24"/>
                <w:szCs w:val="24"/>
              </w:rPr>
            </w:pPr>
            <w:r w:rsidRPr="001B7732">
              <w:rPr>
                <w:color w:val="000000"/>
                <w:sz w:val="24"/>
                <w:szCs w:val="24"/>
              </w:rPr>
              <w:t>604 60 709</w:t>
            </w:r>
          </w:p>
        </w:tc>
      </w:tr>
      <w:tr w:rsidR="000E2704" w14:paraId="16610899" w14:textId="77777777">
        <w:trPr>
          <w:trHeight w:val="275"/>
        </w:trPr>
        <w:tc>
          <w:tcPr>
            <w:tcW w:w="2547" w:type="dxa"/>
          </w:tcPr>
          <w:p w14:paraId="3C6AE99E"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se sídlem:</w:t>
            </w:r>
          </w:p>
        </w:tc>
        <w:tc>
          <w:tcPr>
            <w:tcW w:w="6517" w:type="dxa"/>
          </w:tcPr>
          <w:p w14:paraId="6C911F0C" w14:textId="65C5239D" w:rsidR="000E2704" w:rsidRPr="001B7732" w:rsidRDefault="001B7732" w:rsidP="00EC0370">
            <w:pPr>
              <w:pBdr>
                <w:top w:val="nil"/>
                <w:left w:val="nil"/>
                <w:bottom w:val="nil"/>
                <w:right w:val="nil"/>
                <w:between w:val="nil"/>
              </w:pBdr>
              <w:spacing w:line="255" w:lineRule="auto"/>
              <w:ind w:firstLine="18"/>
              <w:jc w:val="both"/>
              <w:rPr>
                <w:color w:val="000000"/>
                <w:sz w:val="24"/>
                <w:szCs w:val="24"/>
              </w:rPr>
            </w:pPr>
            <w:r w:rsidRPr="001B7732">
              <w:rPr>
                <w:color w:val="000000"/>
                <w:sz w:val="24"/>
                <w:szCs w:val="24"/>
              </w:rPr>
              <w:t>Kamýcká 129, 165 00 Praha 6</w:t>
            </w:r>
          </w:p>
        </w:tc>
      </w:tr>
      <w:tr w:rsidR="000E2704" w14:paraId="57BEBA56" w14:textId="77777777">
        <w:trPr>
          <w:trHeight w:val="276"/>
        </w:trPr>
        <w:tc>
          <w:tcPr>
            <w:tcW w:w="2547" w:type="dxa"/>
          </w:tcPr>
          <w:p w14:paraId="2393852A" w14:textId="77777777" w:rsidR="000E2704" w:rsidRDefault="00637679" w:rsidP="00EC0370">
            <w:pPr>
              <w:pBdr>
                <w:top w:val="nil"/>
                <w:left w:val="nil"/>
                <w:bottom w:val="nil"/>
                <w:right w:val="nil"/>
                <w:between w:val="nil"/>
              </w:pBdr>
              <w:spacing w:before="1" w:line="255" w:lineRule="auto"/>
              <w:ind w:left="110"/>
              <w:jc w:val="both"/>
              <w:rPr>
                <w:color w:val="000000"/>
                <w:sz w:val="24"/>
                <w:szCs w:val="24"/>
              </w:rPr>
            </w:pPr>
            <w:r>
              <w:rPr>
                <w:color w:val="000000"/>
                <w:sz w:val="24"/>
                <w:szCs w:val="24"/>
              </w:rPr>
              <w:t>zastoupené:</w:t>
            </w:r>
          </w:p>
        </w:tc>
        <w:tc>
          <w:tcPr>
            <w:tcW w:w="6517" w:type="dxa"/>
          </w:tcPr>
          <w:p w14:paraId="6D685CD8" w14:textId="4B30B197" w:rsidR="000E2704" w:rsidRPr="001B7732" w:rsidRDefault="008340A5" w:rsidP="00EC0370">
            <w:pPr>
              <w:pBdr>
                <w:top w:val="nil"/>
                <w:left w:val="nil"/>
                <w:bottom w:val="nil"/>
                <w:right w:val="nil"/>
                <w:between w:val="nil"/>
              </w:pBdr>
              <w:spacing w:before="1" w:line="255" w:lineRule="auto"/>
              <w:ind w:firstLine="18"/>
              <w:jc w:val="both"/>
              <w:rPr>
                <w:color w:val="000000"/>
                <w:sz w:val="24"/>
                <w:szCs w:val="24"/>
              </w:rPr>
            </w:pPr>
            <w:r>
              <w:rPr>
                <w:color w:val="000000"/>
                <w:sz w:val="24"/>
                <w:szCs w:val="24"/>
              </w:rPr>
              <w:t>Jindřich Macháček, pověřen řízením na základě plné moci</w:t>
            </w:r>
          </w:p>
        </w:tc>
      </w:tr>
      <w:tr w:rsidR="000E2704" w14:paraId="564BAEA5" w14:textId="77777777">
        <w:trPr>
          <w:trHeight w:val="275"/>
        </w:trPr>
        <w:tc>
          <w:tcPr>
            <w:tcW w:w="2547" w:type="dxa"/>
          </w:tcPr>
          <w:p w14:paraId="4AFF566D" w14:textId="77777777" w:rsidR="000E2704" w:rsidRDefault="00637679" w:rsidP="00EC0370">
            <w:pPr>
              <w:pBdr>
                <w:top w:val="nil"/>
                <w:left w:val="nil"/>
                <w:bottom w:val="nil"/>
                <w:right w:val="nil"/>
                <w:between w:val="nil"/>
              </w:pBdr>
              <w:spacing w:before="1" w:line="255" w:lineRule="auto"/>
              <w:ind w:left="110"/>
              <w:jc w:val="both"/>
              <w:rPr>
                <w:color w:val="000000"/>
                <w:sz w:val="24"/>
                <w:szCs w:val="24"/>
              </w:rPr>
            </w:pPr>
            <w:r>
              <w:rPr>
                <w:color w:val="000000"/>
                <w:sz w:val="24"/>
                <w:szCs w:val="24"/>
              </w:rPr>
              <w:t>e-mail:</w:t>
            </w:r>
          </w:p>
        </w:tc>
        <w:tc>
          <w:tcPr>
            <w:tcW w:w="6517" w:type="dxa"/>
          </w:tcPr>
          <w:p w14:paraId="40A35DA1" w14:textId="6FB57B69" w:rsidR="000E2704" w:rsidRPr="001B7732" w:rsidRDefault="008340A5" w:rsidP="00EC0370">
            <w:pPr>
              <w:pBdr>
                <w:top w:val="nil"/>
                <w:left w:val="nil"/>
                <w:bottom w:val="nil"/>
                <w:right w:val="nil"/>
                <w:between w:val="nil"/>
              </w:pBdr>
              <w:spacing w:before="1"/>
              <w:ind w:firstLine="18"/>
              <w:jc w:val="both"/>
              <w:rPr>
                <w:color w:val="000000"/>
                <w:sz w:val="24"/>
                <w:szCs w:val="24"/>
              </w:rPr>
            </w:pPr>
            <w:r>
              <w:rPr>
                <w:color w:val="000000"/>
                <w:sz w:val="24"/>
                <w:szCs w:val="24"/>
              </w:rPr>
              <w:t>machacek@bohemian-country.cz</w:t>
            </w:r>
          </w:p>
        </w:tc>
      </w:tr>
      <w:tr w:rsidR="000E2704" w14:paraId="16373448" w14:textId="77777777">
        <w:trPr>
          <w:trHeight w:val="277"/>
        </w:trPr>
        <w:tc>
          <w:tcPr>
            <w:tcW w:w="2547" w:type="dxa"/>
          </w:tcPr>
          <w:p w14:paraId="3077E2E2" w14:textId="77777777" w:rsidR="000E2704" w:rsidRDefault="00637679" w:rsidP="00EC0370">
            <w:pPr>
              <w:pBdr>
                <w:top w:val="nil"/>
                <w:left w:val="nil"/>
                <w:bottom w:val="nil"/>
                <w:right w:val="nil"/>
                <w:between w:val="nil"/>
              </w:pBdr>
              <w:spacing w:before="2" w:line="255" w:lineRule="auto"/>
              <w:ind w:left="110"/>
              <w:jc w:val="both"/>
              <w:rPr>
                <w:color w:val="000000"/>
                <w:sz w:val="24"/>
                <w:szCs w:val="24"/>
              </w:rPr>
            </w:pPr>
            <w:r>
              <w:rPr>
                <w:color w:val="000000"/>
                <w:sz w:val="24"/>
                <w:szCs w:val="24"/>
              </w:rPr>
              <w:t>telefon:</w:t>
            </w:r>
          </w:p>
        </w:tc>
        <w:tc>
          <w:tcPr>
            <w:tcW w:w="6517" w:type="dxa"/>
          </w:tcPr>
          <w:p w14:paraId="0247C402" w14:textId="02FDE7F5" w:rsidR="000E2704" w:rsidRDefault="008340A5" w:rsidP="00EC0370">
            <w:pPr>
              <w:pBdr>
                <w:top w:val="nil"/>
                <w:left w:val="nil"/>
                <w:bottom w:val="nil"/>
                <w:right w:val="nil"/>
                <w:between w:val="nil"/>
              </w:pBdr>
              <w:jc w:val="both"/>
              <w:rPr>
                <w:color w:val="000000"/>
                <w:sz w:val="20"/>
                <w:szCs w:val="20"/>
                <w:highlight w:val="yellow"/>
              </w:rPr>
            </w:pPr>
            <w:r>
              <w:rPr>
                <w:color w:val="000000"/>
                <w:sz w:val="24"/>
                <w:szCs w:val="24"/>
              </w:rPr>
              <w:t>+420 777 887 039</w:t>
            </w:r>
          </w:p>
        </w:tc>
      </w:tr>
      <w:tr w:rsidR="000E2704" w14:paraId="63A4A91D" w14:textId="77777777">
        <w:trPr>
          <w:trHeight w:val="160"/>
        </w:trPr>
        <w:tc>
          <w:tcPr>
            <w:tcW w:w="2547" w:type="dxa"/>
          </w:tcPr>
          <w:p w14:paraId="5EDD606F" w14:textId="77777777" w:rsidR="000E2704" w:rsidRDefault="000E2704" w:rsidP="00EC0370">
            <w:pPr>
              <w:pBdr>
                <w:top w:val="nil"/>
                <w:left w:val="nil"/>
                <w:bottom w:val="nil"/>
                <w:right w:val="nil"/>
                <w:between w:val="nil"/>
              </w:pBdr>
              <w:jc w:val="both"/>
              <w:rPr>
                <w:color w:val="000000"/>
                <w:sz w:val="10"/>
                <w:szCs w:val="10"/>
              </w:rPr>
            </w:pPr>
          </w:p>
        </w:tc>
        <w:tc>
          <w:tcPr>
            <w:tcW w:w="6517" w:type="dxa"/>
          </w:tcPr>
          <w:p w14:paraId="6DC96E98" w14:textId="77777777" w:rsidR="000E2704" w:rsidRDefault="000E2704" w:rsidP="00EC0370">
            <w:pPr>
              <w:pBdr>
                <w:top w:val="nil"/>
                <w:left w:val="nil"/>
                <w:bottom w:val="nil"/>
                <w:right w:val="nil"/>
                <w:between w:val="nil"/>
              </w:pBdr>
              <w:ind w:firstLine="18"/>
              <w:jc w:val="both"/>
              <w:rPr>
                <w:color w:val="000000"/>
                <w:sz w:val="10"/>
                <w:szCs w:val="10"/>
                <w:highlight w:val="yellow"/>
              </w:rPr>
            </w:pPr>
          </w:p>
        </w:tc>
      </w:tr>
      <w:tr w:rsidR="000E2704" w14:paraId="2E9C67C3" w14:textId="77777777">
        <w:trPr>
          <w:trHeight w:val="275"/>
        </w:trPr>
        <w:tc>
          <w:tcPr>
            <w:tcW w:w="2547" w:type="dxa"/>
          </w:tcPr>
          <w:p w14:paraId="3EF8ACF4"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bankovní spojení:</w:t>
            </w:r>
          </w:p>
        </w:tc>
        <w:tc>
          <w:tcPr>
            <w:tcW w:w="6517" w:type="dxa"/>
          </w:tcPr>
          <w:p w14:paraId="650FEA4D" w14:textId="3E34B687" w:rsidR="000E2704" w:rsidRPr="008340A5" w:rsidRDefault="008340A5" w:rsidP="00EC0370">
            <w:pPr>
              <w:pBdr>
                <w:top w:val="nil"/>
                <w:left w:val="nil"/>
                <w:bottom w:val="nil"/>
                <w:right w:val="nil"/>
                <w:between w:val="nil"/>
              </w:pBdr>
              <w:spacing w:line="255" w:lineRule="auto"/>
              <w:ind w:firstLine="18"/>
              <w:jc w:val="both"/>
              <w:rPr>
                <w:color w:val="000000"/>
                <w:sz w:val="24"/>
                <w:szCs w:val="24"/>
              </w:rPr>
            </w:pPr>
            <w:r w:rsidRPr="008340A5">
              <w:rPr>
                <w:color w:val="000000"/>
                <w:sz w:val="24"/>
                <w:szCs w:val="24"/>
              </w:rPr>
              <w:t>Česká spořitelna, a.s.</w:t>
            </w:r>
          </w:p>
        </w:tc>
      </w:tr>
      <w:tr w:rsidR="000E2704" w14:paraId="6EF5DDEF" w14:textId="77777777">
        <w:trPr>
          <w:trHeight w:val="275"/>
        </w:trPr>
        <w:tc>
          <w:tcPr>
            <w:tcW w:w="2547" w:type="dxa"/>
          </w:tcPr>
          <w:p w14:paraId="41456ADF"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číslo účtu:</w:t>
            </w:r>
          </w:p>
        </w:tc>
        <w:tc>
          <w:tcPr>
            <w:tcW w:w="6517" w:type="dxa"/>
          </w:tcPr>
          <w:p w14:paraId="1F21CE59" w14:textId="1BF00727" w:rsidR="000E2704" w:rsidRPr="008340A5" w:rsidRDefault="008340A5" w:rsidP="00EC0370">
            <w:pPr>
              <w:pBdr>
                <w:top w:val="nil"/>
                <w:left w:val="nil"/>
                <w:bottom w:val="nil"/>
                <w:right w:val="nil"/>
                <w:between w:val="nil"/>
              </w:pBdr>
              <w:spacing w:line="255" w:lineRule="auto"/>
              <w:ind w:firstLine="18"/>
              <w:jc w:val="both"/>
              <w:rPr>
                <w:color w:val="000000"/>
                <w:sz w:val="24"/>
                <w:szCs w:val="24"/>
              </w:rPr>
            </w:pPr>
            <w:r w:rsidRPr="008340A5">
              <w:rPr>
                <w:color w:val="000000"/>
                <w:sz w:val="24"/>
                <w:szCs w:val="24"/>
              </w:rPr>
              <w:t>6711612/0800</w:t>
            </w:r>
          </w:p>
        </w:tc>
      </w:tr>
    </w:tbl>
    <w:p w14:paraId="694FFD1A" w14:textId="77777777" w:rsidR="000E2704" w:rsidRDefault="00637679" w:rsidP="00EC0370">
      <w:pPr>
        <w:ind w:left="824"/>
        <w:jc w:val="both"/>
        <w:rPr>
          <w:sz w:val="24"/>
          <w:szCs w:val="24"/>
        </w:rPr>
      </w:pPr>
      <w:r>
        <w:rPr>
          <w:sz w:val="24"/>
          <w:szCs w:val="24"/>
        </w:rPr>
        <w:t>na straně jedné a</w:t>
      </w:r>
    </w:p>
    <w:p w14:paraId="3CADC236" w14:textId="77777777" w:rsidR="000E2704" w:rsidRDefault="000E2704" w:rsidP="00EC0370">
      <w:pPr>
        <w:pBdr>
          <w:top w:val="nil"/>
          <w:left w:val="nil"/>
          <w:bottom w:val="nil"/>
          <w:right w:val="nil"/>
          <w:between w:val="nil"/>
        </w:pBdr>
        <w:spacing w:before="9" w:after="1"/>
        <w:jc w:val="both"/>
        <w:rPr>
          <w:color w:val="000000"/>
          <w:sz w:val="15"/>
          <w:szCs w:val="15"/>
        </w:rPr>
      </w:pPr>
    </w:p>
    <w:tbl>
      <w:tblPr>
        <w:tblStyle w:val="a4"/>
        <w:tblW w:w="9063" w:type="dxa"/>
        <w:tblInd w:w="126"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Look w:val="0000" w:firstRow="0" w:lastRow="0" w:firstColumn="0" w:lastColumn="0" w:noHBand="0" w:noVBand="0"/>
      </w:tblPr>
      <w:tblGrid>
        <w:gridCol w:w="2547"/>
        <w:gridCol w:w="6516"/>
      </w:tblGrid>
      <w:tr w:rsidR="000E2704" w14:paraId="4659F342" w14:textId="77777777">
        <w:trPr>
          <w:trHeight w:val="275"/>
        </w:trPr>
        <w:tc>
          <w:tcPr>
            <w:tcW w:w="2547" w:type="dxa"/>
          </w:tcPr>
          <w:p w14:paraId="71005D71"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b/>
                <w:i/>
                <w:color w:val="000000"/>
                <w:sz w:val="24"/>
                <w:szCs w:val="24"/>
              </w:rPr>
              <w:t>Příkazník</w:t>
            </w:r>
            <w:r>
              <w:rPr>
                <w:color w:val="000000"/>
                <w:sz w:val="24"/>
                <w:szCs w:val="24"/>
              </w:rPr>
              <w:t>:</w:t>
            </w:r>
          </w:p>
        </w:tc>
        <w:tc>
          <w:tcPr>
            <w:tcW w:w="6516" w:type="dxa"/>
          </w:tcPr>
          <w:p w14:paraId="360DB15C" w14:textId="77777777" w:rsidR="000E2704" w:rsidRDefault="00637679" w:rsidP="00EC0370">
            <w:pPr>
              <w:jc w:val="both"/>
            </w:pPr>
            <w:r>
              <w:rPr>
                <w:color w:val="000000"/>
                <w:sz w:val="24"/>
                <w:szCs w:val="24"/>
              </w:rPr>
              <w:t>LDSYSTEM s.r.o.</w:t>
            </w:r>
          </w:p>
        </w:tc>
      </w:tr>
      <w:tr w:rsidR="000E2704" w14:paraId="28C8CD05" w14:textId="77777777">
        <w:trPr>
          <w:trHeight w:val="275"/>
        </w:trPr>
        <w:tc>
          <w:tcPr>
            <w:tcW w:w="2547" w:type="dxa"/>
          </w:tcPr>
          <w:p w14:paraId="03D606D8"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IČ:</w:t>
            </w:r>
          </w:p>
        </w:tc>
        <w:tc>
          <w:tcPr>
            <w:tcW w:w="6516" w:type="dxa"/>
          </w:tcPr>
          <w:p w14:paraId="44D1341B" w14:textId="77777777" w:rsidR="000E2704" w:rsidRDefault="00637679" w:rsidP="00EC0370">
            <w:pPr>
              <w:jc w:val="both"/>
            </w:pPr>
            <w:r>
              <w:rPr>
                <w:color w:val="000000"/>
                <w:sz w:val="24"/>
                <w:szCs w:val="24"/>
              </w:rPr>
              <w:t>223 57 343</w:t>
            </w:r>
          </w:p>
        </w:tc>
      </w:tr>
      <w:tr w:rsidR="000E2704" w14:paraId="0FDEF4F8" w14:textId="77777777">
        <w:trPr>
          <w:trHeight w:val="275"/>
        </w:trPr>
        <w:tc>
          <w:tcPr>
            <w:tcW w:w="2547" w:type="dxa"/>
          </w:tcPr>
          <w:p w14:paraId="3A6E1128"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se sídlem:</w:t>
            </w:r>
          </w:p>
        </w:tc>
        <w:tc>
          <w:tcPr>
            <w:tcW w:w="6516" w:type="dxa"/>
          </w:tcPr>
          <w:p w14:paraId="2B950B4B" w14:textId="77777777" w:rsidR="000E2704" w:rsidRDefault="00637679" w:rsidP="00EC0370">
            <w:pPr>
              <w:jc w:val="both"/>
            </w:pPr>
            <w:r>
              <w:rPr>
                <w:color w:val="000000"/>
                <w:sz w:val="24"/>
                <w:szCs w:val="24"/>
              </w:rPr>
              <w:t>Studeněves 139, Tuřany u Slaného, 273 79</w:t>
            </w:r>
          </w:p>
        </w:tc>
      </w:tr>
      <w:tr w:rsidR="008340A5" w14:paraId="6E3006AC" w14:textId="77777777">
        <w:trPr>
          <w:trHeight w:val="275"/>
        </w:trPr>
        <w:tc>
          <w:tcPr>
            <w:tcW w:w="2547" w:type="dxa"/>
          </w:tcPr>
          <w:p w14:paraId="531F23FF" w14:textId="2278B6EB" w:rsidR="008340A5" w:rsidRDefault="008340A5"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Zastoupené:</w:t>
            </w:r>
          </w:p>
        </w:tc>
        <w:tc>
          <w:tcPr>
            <w:tcW w:w="6516" w:type="dxa"/>
          </w:tcPr>
          <w:p w14:paraId="6CB4C680" w14:textId="3DB4B2CD" w:rsidR="008340A5" w:rsidRDefault="008340A5" w:rsidP="00EC0370">
            <w:pPr>
              <w:jc w:val="both"/>
              <w:rPr>
                <w:color w:val="000000"/>
                <w:sz w:val="24"/>
                <w:szCs w:val="24"/>
              </w:rPr>
            </w:pPr>
            <w:r>
              <w:rPr>
                <w:color w:val="000000"/>
                <w:sz w:val="24"/>
                <w:szCs w:val="24"/>
              </w:rPr>
              <w:t>Lukáš Drmota, jednatel</w:t>
            </w:r>
          </w:p>
        </w:tc>
      </w:tr>
      <w:tr w:rsidR="000E2704" w14:paraId="7929607B" w14:textId="77777777">
        <w:trPr>
          <w:trHeight w:val="277"/>
        </w:trPr>
        <w:tc>
          <w:tcPr>
            <w:tcW w:w="2547" w:type="dxa"/>
          </w:tcPr>
          <w:p w14:paraId="776894D3" w14:textId="77777777" w:rsidR="000E2704" w:rsidRDefault="00637679" w:rsidP="00EC0370">
            <w:pPr>
              <w:pBdr>
                <w:top w:val="nil"/>
                <w:left w:val="nil"/>
                <w:bottom w:val="nil"/>
                <w:right w:val="nil"/>
                <w:between w:val="nil"/>
              </w:pBdr>
              <w:spacing w:before="2" w:line="255" w:lineRule="auto"/>
              <w:ind w:left="110"/>
              <w:jc w:val="both"/>
              <w:rPr>
                <w:color w:val="000000"/>
                <w:sz w:val="24"/>
                <w:szCs w:val="24"/>
              </w:rPr>
            </w:pPr>
            <w:r>
              <w:rPr>
                <w:color w:val="000000"/>
                <w:sz w:val="24"/>
                <w:szCs w:val="24"/>
              </w:rPr>
              <w:t>e-mail:</w:t>
            </w:r>
          </w:p>
        </w:tc>
        <w:tc>
          <w:tcPr>
            <w:tcW w:w="6516" w:type="dxa"/>
          </w:tcPr>
          <w:p w14:paraId="02224E7A" w14:textId="77777777" w:rsidR="000E2704" w:rsidRDefault="000E2704" w:rsidP="00EC0370">
            <w:pPr>
              <w:jc w:val="both"/>
            </w:pPr>
            <w:hyperlink r:id="rId8">
              <w:r>
                <w:rPr>
                  <w:color w:val="000000"/>
                  <w:sz w:val="24"/>
                  <w:szCs w:val="24"/>
                </w:rPr>
                <w:t>lukas.drmota@email.cz</w:t>
              </w:r>
            </w:hyperlink>
          </w:p>
        </w:tc>
      </w:tr>
      <w:tr w:rsidR="000E2704" w14:paraId="00E9F480" w14:textId="77777777">
        <w:trPr>
          <w:trHeight w:val="275"/>
        </w:trPr>
        <w:tc>
          <w:tcPr>
            <w:tcW w:w="2547" w:type="dxa"/>
          </w:tcPr>
          <w:p w14:paraId="43673770"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telefon:</w:t>
            </w:r>
          </w:p>
        </w:tc>
        <w:tc>
          <w:tcPr>
            <w:tcW w:w="6516" w:type="dxa"/>
          </w:tcPr>
          <w:p w14:paraId="69C68BB1" w14:textId="77777777" w:rsidR="000E2704" w:rsidRDefault="00637679" w:rsidP="00EC0370">
            <w:pPr>
              <w:jc w:val="both"/>
            </w:pPr>
            <w:r>
              <w:rPr>
                <w:color w:val="000000"/>
                <w:sz w:val="24"/>
                <w:szCs w:val="24"/>
              </w:rPr>
              <w:t>+420 727 947 552</w:t>
            </w:r>
          </w:p>
        </w:tc>
      </w:tr>
      <w:tr w:rsidR="000E2704" w14:paraId="57B40C98" w14:textId="77777777">
        <w:trPr>
          <w:trHeight w:val="160"/>
        </w:trPr>
        <w:tc>
          <w:tcPr>
            <w:tcW w:w="2547" w:type="dxa"/>
          </w:tcPr>
          <w:p w14:paraId="2A5574E5" w14:textId="77777777" w:rsidR="000E2704" w:rsidRDefault="000E2704" w:rsidP="00EC0370">
            <w:pPr>
              <w:pBdr>
                <w:top w:val="nil"/>
                <w:left w:val="nil"/>
                <w:bottom w:val="nil"/>
                <w:right w:val="nil"/>
                <w:between w:val="nil"/>
              </w:pBdr>
              <w:jc w:val="both"/>
              <w:rPr>
                <w:color w:val="000000"/>
                <w:sz w:val="10"/>
                <w:szCs w:val="10"/>
              </w:rPr>
            </w:pPr>
          </w:p>
        </w:tc>
        <w:tc>
          <w:tcPr>
            <w:tcW w:w="6516" w:type="dxa"/>
          </w:tcPr>
          <w:p w14:paraId="2B7236FB" w14:textId="77777777" w:rsidR="000E2704" w:rsidRPr="004D6FBC" w:rsidRDefault="000E2704" w:rsidP="00EC0370">
            <w:pPr>
              <w:jc w:val="both"/>
              <w:rPr>
                <w:sz w:val="10"/>
                <w:szCs w:val="10"/>
              </w:rPr>
            </w:pPr>
          </w:p>
        </w:tc>
      </w:tr>
      <w:tr w:rsidR="000E2704" w14:paraId="2605A5F9" w14:textId="77777777">
        <w:trPr>
          <w:trHeight w:val="276"/>
        </w:trPr>
        <w:tc>
          <w:tcPr>
            <w:tcW w:w="2547" w:type="dxa"/>
          </w:tcPr>
          <w:p w14:paraId="3153F767" w14:textId="77777777" w:rsidR="000E2704" w:rsidRDefault="00637679" w:rsidP="00EC0370">
            <w:pPr>
              <w:pBdr>
                <w:top w:val="nil"/>
                <w:left w:val="nil"/>
                <w:bottom w:val="nil"/>
                <w:right w:val="nil"/>
                <w:between w:val="nil"/>
              </w:pBdr>
              <w:spacing w:line="255" w:lineRule="auto"/>
              <w:ind w:left="110"/>
              <w:jc w:val="both"/>
              <w:rPr>
                <w:color w:val="000000"/>
                <w:sz w:val="24"/>
                <w:szCs w:val="24"/>
              </w:rPr>
            </w:pPr>
            <w:r>
              <w:rPr>
                <w:color w:val="000000"/>
                <w:sz w:val="24"/>
                <w:szCs w:val="24"/>
              </w:rPr>
              <w:t>bankovní spojení:</w:t>
            </w:r>
          </w:p>
        </w:tc>
        <w:tc>
          <w:tcPr>
            <w:tcW w:w="6516" w:type="dxa"/>
          </w:tcPr>
          <w:p w14:paraId="7D46F3D8" w14:textId="6E81E4B1" w:rsidR="000E2704" w:rsidRDefault="00637679" w:rsidP="00EC0370">
            <w:pPr>
              <w:jc w:val="both"/>
            </w:pPr>
            <w:r>
              <w:rPr>
                <w:color w:val="000000"/>
                <w:sz w:val="24"/>
                <w:szCs w:val="24"/>
              </w:rPr>
              <w:t>Česká spořitelna</w:t>
            </w:r>
            <w:r w:rsidR="008340A5">
              <w:rPr>
                <w:color w:val="000000"/>
                <w:sz w:val="24"/>
                <w:szCs w:val="24"/>
              </w:rPr>
              <w:t xml:space="preserve">, a.s. </w:t>
            </w:r>
          </w:p>
        </w:tc>
      </w:tr>
      <w:tr w:rsidR="000E2704" w14:paraId="15F382AA" w14:textId="77777777">
        <w:trPr>
          <w:trHeight w:val="277"/>
        </w:trPr>
        <w:tc>
          <w:tcPr>
            <w:tcW w:w="2547" w:type="dxa"/>
          </w:tcPr>
          <w:p w14:paraId="41BD08B7" w14:textId="77777777" w:rsidR="000E2704" w:rsidRDefault="00637679" w:rsidP="00EC0370">
            <w:pPr>
              <w:pBdr>
                <w:top w:val="nil"/>
                <w:left w:val="nil"/>
                <w:bottom w:val="nil"/>
                <w:right w:val="nil"/>
                <w:between w:val="nil"/>
              </w:pBdr>
              <w:spacing w:line="258" w:lineRule="auto"/>
              <w:ind w:left="110"/>
              <w:jc w:val="both"/>
              <w:rPr>
                <w:color w:val="000000"/>
                <w:sz w:val="24"/>
                <w:szCs w:val="24"/>
              </w:rPr>
            </w:pPr>
            <w:r>
              <w:rPr>
                <w:color w:val="000000"/>
                <w:sz w:val="24"/>
                <w:szCs w:val="24"/>
              </w:rPr>
              <w:t>číslo účtu:</w:t>
            </w:r>
          </w:p>
        </w:tc>
        <w:tc>
          <w:tcPr>
            <w:tcW w:w="6516" w:type="dxa"/>
          </w:tcPr>
          <w:p w14:paraId="0C04245C" w14:textId="77777777" w:rsidR="000E2704" w:rsidRDefault="00637679" w:rsidP="00EC0370">
            <w:pPr>
              <w:jc w:val="both"/>
            </w:pPr>
            <w:r>
              <w:rPr>
                <w:color w:val="000000"/>
                <w:sz w:val="24"/>
                <w:szCs w:val="24"/>
              </w:rPr>
              <w:t>6694061349/0800</w:t>
            </w:r>
          </w:p>
        </w:tc>
      </w:tr>
    </w:tbl>
    <w:p w14:paraId="39E871CD" w14:textId="77777777" w:rsidR="000E2704" w:rsidRDefault="00637679" w:rsidP="00EC0370">
      <w:pPr>
        <w:ind w:left="824"/>
        <w:jc w:val="both"/>
        <w:rPr>
          <w:sz w:val="24"/>
          <w:szCs w:val="24"/>
        </w:rPr>
      </w:pPr>
      <w:r>
        <w:rPr>
          <w:sz w:val="24"/>
          <w:szCs w:val="24"/>
        </w:rPr>
        <w:t xml:space="preserve">na straně druhé. Společně také jako </w:t>
      </w:r>
      <w:r>
        <w:rPr>
          <w:i/>
          <w:sz w:val="24"/>
          <w:szCs w:val="24"/>
        </w:rPr>
        <w:t>Smluvní strany</w:t>
      </w:r>
      <w:r>
        <w:rPr>
          <w:sz w:val="24"/>
          <w:szCs w:val="24"/>
        </w:rPr>
        <w:t>.</w:t>
      </w:r>
    </w:p>
    <w:p w14:paraId="50113991" w14:textId="77777777" w:rsidR="000E2704" w:rsidRDefault="00637679" w:rsidP="00EC0370">
      <w:pPr>
        <w:pStyle w:val="Nadpis1"/>
        <w:ind w:firstLine="125"/>
      </w:pPr>
      <w:r>
        <w:t>Článek I.</w:t>
      </w:r>
    </w:p>
    <w:p w14:paraId="3FDA4C5D" w14:textId="77777777" w:rsidR="000E2704" w:rsidRDefault="00637679" w:rsidP="00EC0370">
      <w:pPr>
        <w:pStyle w:val="Nadpis2"/>
        <w:ind w:firstLine="125"/>
      </w:pPr>
      <w:r>
        <w:t>Předmět Smlouvy</w:t>
      </w:r>
    </w:p>
    <w:p w14:paraId="34B059B6" w14:textId="464B0061" w:rsidR="000E2704" w:rsidRPr="00CD5E5E" w:rsidRDefault="00637679" w:rsidP="00EC0370">
      <w:pPr>
        <w:keepLines/>
        <w:numPr>
          <w:ilvl w:val="0"/>
          <w:numId w:val="8"/>
        </w:numPr>
        <w:pBdr>
          <w:top w:val="nil"/>
          <w:left w:val="nil"/>
          <w:bottom w:val="nil"/>
          <w:right w:val="nil"/>
          <w:between w:val="nil"/>
        </w:pBdr>
        <w:tabs>
          <w:tab w:val="left" w:pos="837"/>
        </w:tabs>
        <w:spacing w:before="143" w:line="259" w:lineRule="auto"/>
        <w:ind w:right="108"/>
        <w:jc w:val="both"/>
        <w:rPr>
          <w:color w:val="000000"/>
        </w:rPr>
      </w:pPr>
      <w:r>
        <w:rPr>
          <w:color w:val="000000"/>
        </w:rPr>
        <w:t xml:space="preserve">Příkazník   se   zavazuje   za   podmínek   dohodnutých   touto   Smlouvou   vykonávat a obstarávat pro Příkazce Technický dozor stavebníka (dále také jako </w:t>
      </w:r>
      <w:r>
        <w:rPr>
          <w:i/>
          <w:color w:val="000000"/>
        </w:rPr>
        <w:t>TDS</w:t>
      </w:r>
      <w:r>
        <w:rPr>
          <w:color w:val="000000"/>
        </w:rPr>
        <w:t>) v rozsahu dále uvedeném, činnost Koordinátora BOZP při realizaci, zpracovat Plán BOZP pro stavbu</w:t>
      </w:r>
      <w:r w:rsidR="004F34C4">
        <w:rPr>
          <w:color w:val="000000"/>
        </w:rPr>
        <w:t xml:space="preserve"> </w:t>
      </w:r>
      <w:r w:rsidR="00CD5E5E" w:rsidRPr="00CD5E5E">
        <w:rPr>
          <w:color w:val="000000"/>
        </w:rPr>
        <w:t>„Přesun a výstavba vodojemů ve středisku</w:t>
      </w:r>
      <w:r w:rsidR="00CD5E5E">
        <w:rPr>
          <w:color w:val="000000"/>
        </w:rPr>
        <w:t xml:space="preserve"> </w:t>
      </w:r>
      <w:r w:rsidR="00CD5E5E" w:rsidRPr="00CD5E5E">
        <w:rPr>
          <w:color w:val="000000"/>
        </w:rPr>
        <w:t>Ruda u Nového Strašecí“</w:t>
      </w:r>
    </w:p>
    <w:p w14:paraId="6C6E715B" w14:textId="77777777" w:rsidR="000E2704" w:rsidRDefault="00637679" w:rsidP="00EC0370">
      <w:pPr>
        <w:keepLines/>
        <w:numPr>
          <w:ilvl w:val="0"/>
          <w:numId w:val="8"/>
        </w:numPr>
        <w:pBdr>
          <w:top w:val="nil"/>
          <w:left w:val="nil"/>
          <w:bottom w:val="nil"/>
          <w:right w:val="nil"/>
          <w:between w:val="nil"/>
        </w:pBdr>
        <w:tabs>
          <w:tab w:val="left" w:pos="837"/>
        </w:tabs>
        <w:spacing w:before="119"/>
        <w:ind w:hanging="361"/>
        <w:jc w:val="both"/>
      </w:pPr>
      <w:r>
        <w:rPr>
          <w:color w:val="000000"/>
        </w:rPr>
        <w:t xml:space="preserve">V rámci výkonu činnosti TDS bude </w:t>
      </w:r>
      <w:r>
        <w:t>Příkazník</w:t>
      </w:r>
      <w:r>
        <w:rPr>
          <w:color w:val="000000"/>
        </w:rPr>
        <w:t xml:space="preserve"> vykonávat zejména následující činnosti:</w:t>
      </w:r>
    </w:p>
    <w:p w14:paraId="63FFB2E2" w14:textId="77777777" w:rsidR="000E2704" w:rsidRDefault="00637679" w:rsidP="00EC0370">
      <w:pPr>
        <w:keepLines/>
        <w:numPr>
          <w:ilvl w:val="1"/>
          <w:numId w:val="8"/>
        </w:numPr>
        <w:pBdr>
          <w:top w:val="nil"/>
          <w:left w:val="nil"/>
          <w:bottom w:val="nil"/>
          <w:right w:val="nil"/>
          <w:between w:val="nil"/>
        </w:pBdr>
        <w:tabs>
          <w:tab w:val="left" w:pos="1557"/>
        </w:tabs>
        <w:spacing w:before="142" w:line="259" w:lineRule="auto"/>
        <w:ind w:right="108"/>
        <w:jc w:val="both"/>
      </w:pPr>
      <w:r>
        <w:rPr>
          <w:color w:val="000000"/>
        </w:rPr>
        <w:t>průběžná kontrola realizace stavby z hlediska kvality a souladu s podmínkami veřejnoprávních povolení, schválenou projektovou dokumentací a závaznými technickými normami</w:t>
      </w:r>
    </w:p>
    <w:p w14:paraId="637E67A2" w14:textId="77777777" w:rsidR="000E2704" w:rsidRDefault="00637679" w:rsidP="00EC0370">
      <w:pPr>
        <w:keepLines/>
        <w:numPr>
          <w:ilvl w:val="1"/>
          <w:numId w:val="8"/>
        </w:numPr>
        <w:pBdr>
          <w:top w:val="nil"/>
          <w:left w:val="nil"/>
          <w:bottom w:val="nil"/>
          <w:right w:val="nil"/>
          <w:between w:val="nil"/>
        </w:pBdr>
        <w:tabs>
          <w:tab w:val="left" w:pos="1557"/>
        </w:tabs>
        <w:spacing w:before="118"/>
        <w:jc w:val="both"/>
      </w:pPr>
      <w:r>
        <w:rPr>
          <w:color w:val="000000"/>
        </w:rPr>
        <w:t>součinnost při řešení případných změn v rozsahu prací</w:t>
      </w:r>
    </w:p>
    <w:p w14:paraId="035AA266" w14:textId="77777777" w:rsidR="000E2704" w:rsidRDefault="00637679" w:rsidP="00EC0370">
      <w:pPr>
        <w:keepLines/>
        <w:numPr>
          <w:ilvl w:val="1"/>
          <w:numId w:val="8"/>
        </w:numPr>
        <w:pBdr>
          <w:top w:val="nil"/>
          <w:left w:val="nil"/>
          <w:bottom w:val="nil"/>
          <w:right w:val="nil"/>
          <w:between w:val="nil"/>
        </w:pBdr>
        <w:tabs>
          <w:tab w:val="left" w:pos="1557"/>
        </w:tabs>
        <w:spacing w:before="141" w:line="256" w:lineRule="auto"/>
        <w:ind w:right="115"/>
        <w:jc w:val="both"/>
      </w:pPr>
      <w:r>
        <w:rPr>
          <w:color w:val="000000"/>
        </w:rPr>
        <w:t>kontrola a přejímání dílčích stavebních prací, které budou dalšími činnostmi či konstrukcemi zakryty</w:t>
      </w:r>
    </w:p>
    <w:p w14:paraId="4714CFC9" w14:textId="77777777" w:rsidR="000E2704" w:rsidRDefault="00637679" w:rsidP="00EC0370">
      <w:pPr>
        <w:keepLines/>
        <w:numPr>
          <w:ilvl w:val="1"/>
          <w:numId w:val="8"/>
        </w:numPr>
        <w:pBdr>
          <w:top w:val="nil"/>
          <w:left w:val="nil"/>
          <w:bottom w:val="nil"/>
          <w:right w:val="nil"/>
          <w:between w:val="nil"/>
        </w:pBdr>
        <w:tabs>
          <w:tab w:val="left" w:pos="1557"/>
        </w:tabs>
        <w:spacing w:before="123"/>
        <w:jc w:val="both"/>
      </w:pPr>
      <w:r>
        <w:rPr>
          <w:color w:val="000000"/>
        </w:rPr>
        <w:lastRenderedPageBreak/>
        <w:t>zajištění a účast na kontrolních dnech stavby</w:t>
      </w:r>
    </w:p>
    <w:p w14:paraId="04743CB9" w14:textId="77777777" w:rsidR="000E2704" w:rsidRDefault="00637679" w:rsidP="00EC0370">
      <w:pPr>
        <w:keepLines/>
        <w:numPr>
          <w:ilvl w:val="1"/>
          <w:numId w:val="8"/>
        </w:numPr>
        <w:pBdr>
          <w:top w:val="nil"/>
          <w:left w:val="nil"/>
          <w:bottom w:val="nil"/>
          <w:right w:val="nil"/>
          <w:between w:val="nil"/>
        </w:pBdr>
        <w:spacing w:before="83" w:line="259" w:lineRule="auto"/>
        <w:ind w:right="109"/>
        <w:jc w:val="both"/>
      </w:pPr>
      <w:r>
        <w:rPr>
          <w:color w:val="000000"/>
        </w:rPr>
        <w:t>kontrola a schvalování dodavatelských faktur</w:t>
      </w:r>
    </w:p>
    <w:p w14:paraId="7A4A2B7E" w14:textId="77777777" w:rsidR="000E2704" w:rsidRDefault="00637679" w:rsidP="00EC0370">
      <w:pPr>
        <w:keepLines/>
        <w:numPr>
          <w:ilvl w:val="1"/>
          <w:numId w:val="8"/>
        </w:numPr>
        <w:pBdr>
          <w:top w:val="nil"/>
          <w:left w:val="nil"/>
          <w:bottom w:val="nil"/>
          <w:right w:val="nil"/>
          <w:between w:val="nil"/>
        </w:pBdr>
        <w:spacing w:before="83" w:line="259" w:lineRule="auto"/>
        <w:ind w:right="109"/>
        <w:jc w:val="both"/>
      </w:pPr>
      <w:r>
        <w:rPr>
          <w:color w:val="000000"/>
        </w:rPr>
        <w:t xml:space="preserve">zhodnocení </w:t>
      </w:r>
      <w:proofErr w:type="spellStart"/>
      <w:r>
        <w:rPr>
          <w:color w:val="000000"/>
        </w:rPr>
        <w:t>nárokovosti</w:t>
      </w:r>
      <w:proofErr w:type="spellEnd"/>
      <w:r>
        <w:rPr>
          <w:color w:val="000000"/>
        </w:rPr>
        <w:t xml:space="preserve"> víceprací a méněprací oproti plánovaným nákladům stavby</w:t>
      </w:r>
    </w:p>
    <w:p w14:paraId="0A737A03" w14:textId="77777777" w:rsidR="000E2704" w:rsidRDefault="00637679" w:rsidP="00EC0370">
      <w:pPr>
        <w:keepLines/>
        <w:numPr>
          <w:ilvl w:val="1"/>
          <w:numId w:val="8"/>
        </w:numPr>
        <w:pBdr>
          <w:top w:val="nil"/>
          <w:left w:val="nil"/>
          <w:bottom w:val="nil"/>
          <w:right w:val="nil"/>
          <w:between w:val="nil"/>
        </w:pBdr>
        <w:tabs>
          <w:tab w:val="left" w:pos="1557"/>
        </w:tabs>
        <w:spacing w:before="121" w:line="259" w:lineRule="auto"/>
        <w:ind w:right="108"/>
        <w:jc w:val="both"/>
      </w:pPr>
      <w:r>
        <w:rPr>
          <w:color w:val="000000"/>
        </w:rPr>
        <w:t>kontrola vedení stavebního deníku a provádění příslušných záznamů ve stavebním deníku nebo v jeho nedílných přílohách</w:t>
      </w:r>
    </w:p>
    <w:p w14:paraId="0B1C74AC" w14:textId="77777777" w:rsidR="000E2704" w:rsidRDefault="00637679" w:rsidP="00EC0370">
      <w:pPr>
        <w:keepLines/>
        <w:numPr>
          <w:ilvl w:val="1"/>
          <w:numId w:val="8"/>
        </w:numPr>
        <w:pBdr>
          <w:top w:val="nil"/>
          <w:left w:val="nil"/>
          <w:bottom w:val="nil"/>
          <w:right w:val="nil"/>
          <w:between w:val="nil"/>
        </w:pBdr>
        <w:tabs>
          <w:tab w:val="left" w:pos="1557"/>
        </w:tabs>
        <w:spacing w:before="119"/>
        <w:jc w:val="both"/>
      </w:pPr>
      <w:r>
        <w:rPr>
          <w:color w:val="000000"/>
        </w:rPr>
        <w:t>součinnost při přejímání dokončených stavebních částí</w:t>
      </w:r>
    </w:p>
    <w:p w14:paraId="5DB4AB12" w14:textId="77777777" w:rsidR="000E2704" w:rsidRDefault="00637679" w:rsidP="00EC0370">
      <w:pPr>
        <w:keepLines/>
        <w:numPr>
          <w:ilvl w:val="1"/>
          <w:numId w:val="8"/>
        </w:numPr>
        <w:pBdr>
          <w:top w:val="nil"/>
          <w:left w:val="nil"/>
          <w:bottom w:val="nil"/>
          <w:right w:val="nil"/>
          <w:between w:val="nil"/>
        </w:pBdr>
        <w:tabs>
          <w:tab w:val="left" w:pos="1556"/>
          <w:tab w:val="left" w:pos="1557"/>
        </w:tabs>
        <w:spacing w:before="140" w:line="259" w:lineRule="auto"/>
        <w:ind w:right="112"/>
        <w:jc w:val="both"/>
      </w:pPr>
      <w:r>
        <w:rPr>
          <w:color w:val="000000"/>
        </w:rPr>
        <w:t>zhotovení soupisu vad a nedodělků při přejímce provedeného díla + dohled nad odstraněním zjištěných vad a nedodělků</w:t>
      </w:r>
    </w:p>
    <w:p w14:paraId="7713C167" w14:textId="77777777" w:rsidR="000E2704" w:rsidRDefault="00637679" w:rsidP="00EC0370">
      <w:pPr>
        <w:keepLines/>
        <w:numPr>
          <w:ilvl w:val="1"/>
          <w:numId w:val="8"/>
        </w:numPr>
        <w:pBdr>
          <w:top w:val="nil"/>
          <w:left w:val="nil"/>
          <w:bottom w:val="nil"/>
          <w:right w:val="nil"/>
          <w:between w:val="nil"/>
        </w:pBdr>
        <w:tabs>
          <w:tab w:val="left" w:pos="1556"/>
          <w:tab w:val="left" w:pos="1557"/>
        </w:tabs>
        <w:spacing w:before="121" w:line="256" w:lineRule="auto"/>
        <w:ind w:right="108"/>
        <w:jc w:val="both"/>
      </w:pPr>
      <w:r>
        <w:rPr>
          <w:color w:val="000000"/>
        </w:rPr>
        <w:t>spolupráce s autorským dozorem projektanta, bude-li stanoven, a zástupci budoucích uživatelů a provozovatelů díla</w:t>
      </w:r>
    </w:p>
    <w:p w14:paraId="4BEF93E3" w14:textId="77777777" w:rsidR="000E2704" w:rsidRDefault="00637679" w:rsidP="00EC0370">
      <w:pPr>
        <w:keepLines/>
        <w:numPr>
          <w:ilvl w:val="0"/>
          <w:numId w:val="8"/>
        </w:numPr>
        <w:pBdr>
          <w:top w:val="nil"/>
          <w:left w:val="nil"/>
          <w:bottom w:val="nil"/>
          <w:right w:val="nil"/>
          <w:between w:val="nil"/>
        </w:pBdr>
        <w:tabs>
          <w:tab w:val="left" w:pos="837"/>
        </w:tabs>
        <w:spacing w:before="120" w:line="256" w:lineRule="auto"/>
        <w:ind w:right="104"/>
        <w:jc w:val="both"/>
      </w:pPr>
      <w:r>
        <w:rPr>
          <w:color w:val="000000"/>
        </w:rPr>
        <w:t>Příkazník bude vykonávat i další výše výslovně neuvedené, ale s výkonem TDS úzce související činnosti, a to v součinnosti s Příkazcem.</w:t>
      </w:r>
    </w:p>
    <w:p w14:paraId="410954E4" w14:textId="77777777" w:rsidR="000E2704" w:rsidRDefault="00637679" w:rsidP="00EC0370">
      <w:pPr>
        <w:keepLines/>
        <w:numPr>
          <w:ilvl w:val="0"/>
          <w:numId w:val="8"/>
        </w:numPr>
        <w:pBdr>
          <w:top w:val="nil"/>
          <w:left w:val="nil"/>
          <w:bottom w:val="nil"/>
          <w:right w:val="nil"/>
          <w:between w:val="nil"/>
        </w:pBdr>
        <w:spacing w:before="119"/>
        <w:ind w:right="107"/>
        <w:jc w:val="both"/>
      </w:pPr>
      <w:r>
        <w:rPr>
          <w:color w:val="000000"/>
        </w:rPr>
        <w:t>Příkazník zajistí v souladu s § 15 zákona č. 309/2006 Sb. vyhotovení a doručení Oznámení o zahájení prací na místně příslušný Oblastní inspektorát práce jménem Příkazce.</w:t>
      </w:r>
    </w:p>
    <w:p w14:paraId="12AE9661" w14:textId="40CA4C15" w:rsidR="000E2704" w:rsidRPr="00504E1B" w:rsidRDefault="00637679" w:rsidP="00EC0370">
      <w:pPr>
        <w:keepLines/>
        <w:numPr>
          <w:ilvl w:val="0"/>
          <w:numId w:val="8"/>
        </w:numPr>
        <w:pBdr>
          <w:top w:val="nil"/>
          <w:left w:val="nil"/>
          <w:bottom w:val="nil"/>
          <w:right w:val="nil"/>
          <w:between w:val="nil"/>
        </w:pBdr>
        <w:tabs>
          <w:tab w:val="left" w:pos="837"/>
        </w:tabs>
        <w:spacing w:before="124" w:line="259" w:lineRule="auto"/>
        <w:ind w:right="108"/>
        <w:jc w:val="both"/>
      </w:pPr>
      <w:r>
        <w:rPr>
          <w:color w:val="000000"/>
        </w:rPr>
        <w:t>Příkazník bude vykonávat činnost Koordinátora BOZP při realizaci stavby v souladu s § 14 zákona č. 309/2006 Sb., o zajištění dalších podmínek bezpečnosti a ochrany zdraví při práci a § 8 NV 591/2006 Sb., o bližších minimálních požadavcích na bezpečnost a ochranu zdraví při práci na staveništích.</w:t>
      </w:r>
    </w:p>
    <w:p w14:paraId="4ECBB04C" w14:textId="77777777" w:rsidR="000E2704" w:rsidRDefault="00637679" w:rsidP="004F34C4">
      <w:pPr>
        <w:pStyle w:val="Nadpis1"/>
        <w:ind w:firstLine="125"/>
      </w:pPr>
      <w:r>
        <w:t>Článek II.</w:t>
      </w:r>
    </w:p>
    <w:p w14:paraId="77374220" w14:textId="77777777" w:rsidR="000E2704" w:rsidRDefault="00637679" w:rsidP="004F34C4">
      <w:pPr>
        <w:pStyle w:val="Nadpis2"/>
        <w:ind w:firstLine="125"/>
      </w:pPr>
      <w:r>
        <w:t>Čas plnění</w:t>
      </w:r>
    </w:p>
    <w:p w14:paraId="1DF0C2C2" w14:textId="1B2D2BDD" w:rsidR="000E2704" w:rsidRDefault="00637679" w:rsidP="00EC0370">
      <w:pPr>
        <w:keepLines/>
        <w:numPr>
          <w:ilvl w:val="0"/>
          <w:numId w:val="7"/>
        </w:numPr>
        <w:pBdr>
          <w:top w:val="nil"/>
          <w:left w:val="nil"/>
          <w:bottom w:val="nil"/>
          <w:right w:val="nil"/>
          <w:between w:val="nil"/>
        </w:pBdr>
        <w:tabs>
          <w:tab w:val="left" w:pos="837"/>
        </w:tabs>
        <w:spacing w:before="141" w:line="259" w:lineRule="auto"/>
        <w:ind w:right="104"/>
        <w:jc w:val="both"/>
      </w:pPr>
      <w:r>
        <w:rPr>
          <w:color w:val="000000"/>
        </w:rPr>
        <w:t>Příkazník zahájí výše popsanou činnost TDS nejpozději do 7 kalendářních dnů od vyzvání Příkazce, pokud není dále uvedeno jinak, a bude ji vykonávat až do okamžiku protokolárního předání dozorovaného dokončeného díla zhotovitelem Příkazci bez vad a nedodělků. V případě překročení termínu dokončení   díla bude mezi Smluvními stranami uzavřen dodatek k této Smlouvě. Pokud nebude dodatek akceptován oběma Stranami nebude Příkazník vykonávat předmětnou činnost a Smlouva tímto zanikne.</w:t>
      </w:r>
    </w:p>
    <w:p w14:paraId="386C4D24" w14:textId="77777777" w:rsidR="000E2704" w:rsidRDefault="00637679" w:rsidP="00EC0370">
      <w:pPr>
        <w:keepLines/>
        <w:numPr>
          <w:ilvl w:val="0"/>
          <w:numId w:val="7"/>
        </w:numPr>
        <w:pBdr>
          <w:top w:val="nil"/>
          <w:left w:val="nil"/>
          <w:bottom w:val="nil"/>
          <w:right w:val="nil"/>
          <w:between w:val="nil"/>
        </w:pBdr>
        <w:tabs>
          <w:tab w:val="left" w:pos="837"/>
        </w:tabs>
        <w:spacing w:before="141" w:line="259" w:lineRule="auto"/>
        <w:ind w:right="104"/>
        <w:jc w:val="both"/>
      </w:pPr>
      <w:r>
        <w:rPr>
          <w:color w:val="000000"/>
        </w:rPr>
        <w:t>Příkazník zahájí výše popsanou činnost Koordinátora BOZP při realizaci stavby po podpisu Příkazní smlouvy zpracováním Plánu BOZP.</w:t>
      </w:r>
    </w:p>
    <w:p w14:paraId="2DD82E8D" w14:textId="77777777" w:rsidR="000E2704" w:rsidRDefault="00637679" w:rsidP="00EC0370">
      <w:pPr>
        <w:keepLines/>
        <w:numPr>
          <w:ilvl w:val="0"/>
          <w:numId w:val="7"/>
        </w:numPr>
        <w:pBdr>
          <w:top w:val="nil"/>
          <w:left w:val="nil"/>
          <w:bottom w:val="nil"/>
          <w:right w:val="nil"/>
          <w:between w:val="nil"/>
        </w:pBdr>
        <w:tabs>
          <w:tab w:val="left" w:pos="837"/>
        </w:tabs>
        <w:spacing w:before="141" w:line="259" w:lineRule="auto"/>
        <w:ind w:right="104"/>
        <w:jc w:val="both"/>
      </w:pPr>
      <w:r>
        <w:rPr>
          <w:color w:val="000000"/>
        </w:rPr>
        <w:t xml:space="preserve">Příkazník v přípravné fázi stavby bude spolupracovat v rámci přípravy projektové dokumentace s vybraným projektantem. </w:t>
      </w:r>
    </w:p>
    <w:p w14:paraId="597EB435" w14:textId="5D5B05CF" w:rsidR="000E2704" w:rsidRDefault="00637679" w:rsidP="00EC0370">
      <w:pPr>
        <w:keepLines/>
        <w:numPr>
          <w:ilvl w:val="0"/>
          <w:numId w:val="7"/>
        </w:numPr>
        <w:pBdr>
          <w:top w:val="nil"/>
          <w:left w:val="nil"/>
          <w:bottom w:val="nil"/>
          <w:right w:val="nil"/>
          <w:between w:val="nil"/>
        </w:pBdr>
        <w:tabs>
          <w:tab w:val="left" w:pos="837"/>
          <w:tab w:val="right" w:pos="5932"/>
        </w:tabs>
        <w:spacing w:before="121"/>
        <w:ind w:hanging="410"/>
        <w:jc w:val="both"/>
      </w:pPr>
      <w:r>
        <w:rPr>
          <w:color w:val="000000"/>
        </w:rPr>
        <w:t>Předpokládaný termín zahájení realizační fáze:</w:t>
      </w:r>
      <w:r>
        <w:rPr>
          <w:color w:val="000000"/>
        </w:rPr>
        <w:tab/>
      </w:r>
      <w:r w:rsidR="00CD5E5E">
        <w:rPr>
          <w:color w:val="000000"/>
        </w:rPr>
        <w:tab/>
        <w:t>23.1.</w:t>
      </w:r>
      <w:r w:rsidRPr="00CD5E5E">
        <w:rPr>
          <w:color w:val="000000"/>
        </w:rPr>
        <w:t>202</w:t>
      </w:r>
      <w:r w:rsidR="004624FA" w:rsidRPr="00CD5E5E">
        <w:rPr>
          <w:color w:val="000000"/>
        </w:rPr>
        <w:t>5</w:t>
      </w:r>
    </w:p>
    <w:p w14:paraId="6CD43F0D" w14:textId="2A1A2B9E" w:rsidR="000E2704" w:rsidRDefault="00637679" w:rsidP="00EC0370">
      <w:pPr>
        <w:pBdr>
          <w:top w:val="nil"/>
          <w:left w:val="nil"/>
          <w:bottom w:val="nil"/>
          <w:right w:val="nil"/>
          <w:between w:val="nil"/>
        </w:pBdr>
        <w:tabs>
          <w:tab w:val="right" w:pos="6177"/>
        </w:tabs>
        <w:spacing w:before="138"/>
        <w:ind w:left="836"/>
        <w:jc w:val="both"/>
        <w:rPr>
          <w:color w:val="000000"/>
        </w:rPr>
      </w:pPr>
      <w:r>
        <w:rPr>
          <w:color w:val="000000"/>
        </w:rPr>
        <w:t>Předpokládaný termín dokončení:</w:t>
      </w:r>
      <w:r>
        <w:rPr>
          <w:color w:val="000000"/>
        </w:rPr>
        <w:tab/>
      </w:r>
      <w:r>
        <w:rPr>
          <w:color w:val="000000"/>
        </w:rPr>
        <w:tab/>
      </w:r>
      <w:r w:rsidR="00CD5E5E" w:rsidRPr="00CD5E5E">
        <w:rPr>
          <w:color w:val="000000"/>
        </w:rPr>
        <w:t>3</w:t>
      </w:r>
      <w:r w:rsidR="00F066E0">
        <w:rPr>
          <w:color w:val="000000"/>
        </w:rPr>
        <w:t>0.4</w:t>
      </w:r>
      <w:r w:rsidR="00CD5E5E" w:rsidRPr="00CD5E5E">
        <w:rPr>
          <w:color w:val="000000"/>
        </w:rPr>
        <w:t>.</w:t>
      </w:r>
      <w:r w:rsidRPr="00CD5E5E">
        <w:rPr>
          <w:color w:val="000000"/>
        </w:rPr>
        <w:t>202</w:t>
      </w:r>
      <w:r w:rsidR="004624FA" w:rsidRPr="00CD5E5E">
        <w:rPr>
          <w:color w:val="000000"/>
        </w:rPr>
        <w:t>5</w:t>
      </w:r>
    </w:p>
    <w:p w14:paraId="2583C1D9" w14:textId="19DEDB53" w:rsidR="000E2704" w:rsidRDefault="00637679" w:rsidP="00EC0370">
      <w:pPr>
        <w:keepLines/>
        <w:numPr>
          <w:ilvl w:val="0"/>
          <w:numId w:val="7"/>
        </w:numPr>
        <w:pBdr>
          <w:top w:val="nil"/>
          <w:left w:val="nil"/>
          <w:bottom w:val="nil"/>
          <w:right w:val="nil"/>
          <w:between w:val="nil"/>
        </w:pBdr>
        <w:tabs>
          <w:tab w:val="left" w:pos="837"/>
        </w:tabs>
        <w:spacing w:before="141"/>
        <w:ind w:hanging="361"/>
        <w:jc w:val="both"/>
      </w:pPr>
      <w:r>
        <w:rPr>
          <w:color w:val="000000"/>
        </w:rPr>
        <w:t xml:space="preserve">Místo plnění realizační fáze: </w:t>
      </w:r>
      <w:r w:rsidR="00CD5E5E">
        <w:rPr>
          <w:color w:val="000000"/>
        </w:rPr>
        <w:tab/>
        <w:t xml:space="preserve">středisko Ruda u Nového </w:t>
      </w:r>
      <w:r w:rsidR="004F34C4">
        <w:rPr>
          <w:color w:val="000000"/>
        </w:rPr>
        <w:t>S</w:t>
      </w:r>
      <w:r w:rsidR="00CD5E5E">
        <w:rPr>
          <w:color w:val="000000"/>
        </w:rPr>
        <w:t>trašecí</w:t>
      </w:r>
    </w:p>
    <w:p w14:paraId="4AB05981" w14:textId="77777777" w:rsidR="000E2704" w:rsidRDefault="00637679" w:rsidP="004F34C4">
      <w:pPr>
        <w:pStyle w:val="Nadpis1"/>
        <w:ind w:firstLine="125"/>
      </w:pPr>
      <w:r>
        <w:t>Článek III</w:t>
      </w:r>
    </w:p>
    <w:p w14:paraId="6A668220" w14:textId="77777777" w:rsidR="000E2704" w:rsidRDefault="00637679" w:rsidP="004F34C4">
      <w:pPr>
        <w:pStyle w:val="Nadpis2"/>
        <w:ind w:firstLine="125"/>
      </w:pPr>
      <w:r>
        <w:t>Cena a platební podmínky</w:t>
      </w:r>
    </w:p>
    <w:p w14:paraId="799B04C6" w14:textId="1946565D" w:rsidR="000E2704" w:rsidRDefault="00637679" w:rsidP="00EC0370">
      <w:pPr>
        <w:keepNext/>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Smluvní strany se dohodly, že Příkazníkovi náleží za uskutečnění inženýrské činnosti – výkonu TDS s obvyklou frekvencí návštěvy 2x týdně v rozsahu článku I a II této Smlouvy úplata ve výši</w:t>
      </w:r>
    </w:p>
    <w:p w14:paraId="4B13297F" w14:textId="007062FB" w:rsidR="000E2704" w:rsidRDefault="00CD5E5E" w:rsidP="00EC0370">
      <w:pPr>
        <w:keepLines/>
        <w:pBdr>
          <w:top w:val="nil"/>
          <w:left w:val="nil"/>
          <w:bottom w:val="nil"/>
          <w:right w:val="nil"/>
          <w:between w:val="nil"/>
        </w:pBdr>
        <w:spacing w:before="118" w:line="374" w:lineRule="auto"/>
        <w:ind w:left="1531" w:right="5084"/>
        <w:jc w:val="both"/>
        <w:rPr>
          <w:color w:val="000000"/>
        </w:rPr>
      </w:pPr>
      <w:r>
        <w:rPr>
          <w:color w:val="000000"/>
        </w:rPr>
        <w:t>65.000 Kč bez DPH měsíčně 13.650 Kč DPH (21 %)</w:t>
      </w:r>
    </w:p>
    <w:p w14:paraId="1313BD96" w14:textId="3D2EA36E" w:rsidR="000E2704" w:rsidRDefault="00CD5E5E" w:rsidP="00EC0370">
      <w:pPr>
        <w:keepLines/>
        <w:pBdr>
          <w:top w:val="nil"/>
          <w:left w:val="nil"/>
          <w:bottom w:val="nil"/>
          <w:right w:val="nil"/>
          <w:between w:val="nil"/>
        </w:pBdr>
        <w:spacing w:line="251" w:lineRule="auto"/>
        <w:ind w:left="1531"/>
        <w:jc w:val="both"/>
        <w:rPr>
          <w:color w:val="000000"/>
        </w:rPr>
      </w:pPr>
      <w:r>
        <w:rPr>
          <w:color w:val="000000"/>
        </w:rPr>
        <w:lastRenderedPageBreak/>
        <w:t>78.650 Kč s DPH měsíčně</w:t>
      </w:r>
    </w:p>
    <w:p w14:paraId="775CDE9C" w14:textId="77777777"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Smluvní strany se dohodly, že Příkazníkovi náleží za zpracování Plánu BOZP jednorázová úplata ve výši</w:t>
      </w:r>
    </w:p>
    <w:p w14:paraId="40D4EC93" w14:textId="728054A9" w:rsidR="000E2704" w:rsidRDefault="00CD5E5E" w:rsidP="00EC0370">
      <w:pPr>
        <w:pBdr>
          <w:top w:val="nil"/>
          <w:left w:val="nil"/>
          <w:bottom w:val="nil"/>
          <w:right w:val="nil"/>
          <w:between w:val="nil"/>
        </w:pBdr>
        <w:spacing w:before="165"/>
        <w:ind w:left="1532"/>
        <w:jc w:val="both"/>
        <w:rPr>
          <w:color w:val="000000"/>
        </w:rPr>
      </w:pPr>
      <w:r>
        <w:rPr>
          <w:color w:val="000000"/>
        </w:rPr>
        <w:t>24.000 Kč bez DPH</w:t>
      </w:r>
    </w:p>
    <w:p w14:paraId="43849E71" w14:textId="16EF4546" w:rsidR="000E2704" w:rsidRDefault="00CD5E5E" w:rsidP="00EC0370">
      <w:pPr>
        <w:pBdr>
          <w:top w:val="nil"/>
          <w:left w:val="nil"/>
          <w:bottom w:val="nil"/>
          <w:right w:val="nil"/>
          <w:between w:val="nil"/>
        </w:pBdr>
        <w:spacing w:before="179"/>
        <w:ind w:left="1532"/>
        <w:jc w:val="both"/>
        <w:rPr>
          <w:color w:val="000000"/>
        </w:rPr>
      </w:pPr>
      <w:r>
        <w:rPr>
          <w:color w:val="000000"/>
        </w:rPr>
        <w:t>5.040 Kč DPH (21 %)</w:t>
      </w:r>
    </w:p>
    <w:p w14:paraId="2CB366CE" w14:textId="20D5C32C" w:rsidR="000E2704" w:rsidRDefault="00CD5E5E" w:rsidP="00EC0370">
      <w:pPr>
        <w:pBdr>
          <w:top w:val="nil"/>
          <w:left w:val="nil"/>
          <w:bottom w:val="nil"/>
          <w:right w:val="nil"/>
          <w:between w:val="nil"/>
        </w:pBdr>
        <w:spacing w:before="179"/>
        <w:ind w:left="1532"/>
        <w:jc w:val="both"/>
        <w:rPr>
          <w:color w:val="000000"/>
        </w:rPr>
      </w:pPr>
      <w:r>
        <w:rPr>
          <w:color w:val="000000"/>
        </w:rPr>
        <w:t>29.040 Kč s DPH</w:t>
      </w:r>
    </w:p>
    <w:p w14:paraId="797BC10D" w14:textId="6375CAC1" w:rsidR="000E2704" w:rsidRDefault="00637679" w:rsidP="00EC0370">
      <w:pPr>
        <w:keepLines/>
        <w:numPr>
          <w:ilvl w:val="0"/>
          <w:numId w:val="6"/>
        </w:numPr>
        <w:pBdr>
          <w:top w:val="nil"/>
          <w:left w:val="nil"/>
          <w:bottom w:val="nil"/>
          <w:right w:val="nil"/>
          <w:between w:val="nil"/>
        </w:pBdr>
        <w:spacing w:before="119"/>
        <w:ind w:right="107"/>
        <w:jc w:val="both"/>
      </w:pPr>
      <w:r>
        <w:rPr>
          <w:color w:val="000000"/>
        </w:rPr>
        <w:t xml:space="preserve">Smluvní strany se dohodly, že Příkazníkovi náleží za činnost Koordinátora BOZP na staveništi při realizaci stavby s obvyklou frekvencí kontrolních dnů min. 1 x týdně, </w:t>
      </w:r>
      <w:r w:rsidR="00CD5E5E">
        <w:rPr>
          <w:color w:val="000000"/>
        </w:rPr>
        <w:t>případ</w:t>
      </w:r>
      <w:r>
        <w:rPr>
          <w:color w:val="000000"/>
        </w:rPr>
        <w:t>ně dle potřeb stavby, úplata ve výši</w:t>
      </w:r>
      <w:r>
        <w:rPr>
          <w:color w:val="000000"/>
        </w:rPr>
        <w:tab/>
      </w:r>
    </w:p>
    <w:p w14:paraId="1BAA1639" w14:textId="7D99D2AA" w:rsidR="000E2704" w:rsidRDefault="00CD5E5E" w:rsidP="00EC0370">
      <w:pPr>
        <w:pBdr>
          <w:top w:val="nil"/>
          <w:left w:val="nil"/>
          <w:bottom w:val="nil"/>
          <w:right w:val="nil"/>
          <w:between w:val="nil"/>
        </w:pBdr>
        <w:spacing w:before="116"/>
        <w:ind w:left="1532"/>
        <w:jc w:val="both"/>
        <w:rPr>
          <w:color w:val="000000"/>
        </w:rPr>
      </w:pPr>
      <w:r>
        <w:rPr>
          <w:color w:val="000000"/>
        </w:rPr>
        <w:t>30.000 Kč bez DPH měsíčně</w:t>
      </w:r>
    </w:p>
    <w:p w14:paraId="67233DFB" w14:textId="427E7E7F" w:rsidR="000E2704" w:rsidRDefault="00504E1B" w:rsidP="00EC0370">
      <w:pPr>
        <w:pBdr>
          <w:top w:val="nil"/>
          <w:left w:val="nil"/>
          <w:bottom w:val="nil"/>
          <w:right w:val="nil"/>
          <w:between w:val="nil"/>
        </w:pBdr>
        <w:spacing w:before="181"/>
        <w:ind w:left="1532"/>
        <w:jc w:val="both"/>
        <w:rPr>
          <w:color w:val="000000"/>
        </w:rPr>
      </w:pPr>
      <w:r>
        <w:rPr>
          <w:color w:val="000000"/>
        </w:rPr>
        <w:t>6.300 Kč DPH (21 %)</w:t>
      </w:r>
    </w:p>
    <w:p w14:paraId="7C986E26" w14:textId="13EC3A3D" w:rsidR="000E2704" w:rsidRDefault="00504E1B" w:rsidP="00EC0370">
      <w:pPr>
        <w:pBdr>
          <w:top w:val="nil"/>
          <w:left w:val="nil"/>
          <w:bottom w:val="nil"/>
          <w:right w:val="nil"/>
          <w:between w:val="nil"/>
        </w:pBdr>
        <w:spacing w:before="180"/>
        <w:ind w:left="1532"/>
        <w:jc w:val="both"/>
        <w:rPr>
          <w:color w:val="000000"/>
        </w:rPr>
      </w:pPr>
      <w:r>
        <w:rPr>
          <w:color w:val="000000"/>
        </w:rPr>
        <w:t>36.300 Kč s DPH měsíčně</w:t>
      </w:r>
    </w:p>
    <w:p w14:paraId="7EC6A562" w14:textId="77777777"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Sjednaná cena obsahuje veškeré náklady nutné k řádnému plnění předmětu této Smlouvy vč. režijních nákladů Příkazníka.</w:t>
      </w:r>
    </w:p>
    <w:p w14:paraId="25C38AED" w14:textId="28775873"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Sjednaná cena nezahrnuje správní a jiné poplatky, náklady na případné znalecké posudky, geometrické plány, zhotovení projektové dokumentace či dokumentace skutečného provedení. Příkazník má nárok na úhradu takovýchto nákladů, které s</w:t>
      </w:r>
      <w:r w:rsidR="00504E1B">
        <w:rPr>
          <w:color w:val="000000"/>
        </w:rPr>
        <w:t> </w:t>
      </w:r>
      <w:r>
        <w:rPr>
          <w:color w:val="000000"/>
        </w:rPr>
        <w:t>předchozím souhlasem Příkazce účelně vynaloží při plnění svých povinností z této Smlouvy a které řádně a včas Příkazci vyúčtuje. Včasným termínem se rozumí nejpozději měsíc následující po uhrazení vzniklých nákladů.</w:t>
      </w:r>
    </w:p>
    <w:p w14:paraId="59B57658" w14:textId="018C00EB"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Platebním dokladem pro všechny sjednané platby je faktura s náležitostmi účetního a</w:t>
      </w:r>
      <w:r w:rsidR="00504E1B">
        <w:rPr>
          <w:color w:val="000000"/>
        </w:rPr>
        <w:t> </w:t>
      </w:r>
      <w:r>
        <w:rPr>
          <w:color w:val="000000"/>
        </w:rPr>
        <w:t>daňového dokladu se splatností 14 kalendářních dnů ode dne doručení Příkazci. Stejný termín splatnosti platí i při placení jiných plateb (např. úroků z prodlení, smluvních pokut, náhrady škody apod.). Úhrada nad rámec této Smlouvy musí být vzájemně dohodnuta oběma Smluvními stranami na základě dodatku k této Smlouvě.</w:t>
      </w:r>
    </w:p>
    <w:p w14:paraId="2189FC6A" w14:textId="77777777"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Fakturace za sjednanou činnost bude prováděna jedenkrát měsíčně na základě cenové nabídky a Smlouvy.</w:t>
      </w:r>
    </w:p>
    <w:p w14:paraId="45A53E4E" w14:textId="77777777" w:rsidR="000E2704" w:rsidRDefault="00637679" w:rsidP="00EC0370">
      <w:pPr>
        <w:keepLines/>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V případě, že dojde ke zrušení nebo odstoupení od Smlouvy ze strany Příkazce, bude Příkazník fakturovat Příkazci rozpracované práce ke dni zrušení nebo odstoupení od Smlouvy ve výši poměrné části daného měsíce.</w:t>
      </w:r>
    </w:p>
    <w:p w14:paraId="6F542155" w14:textId="77777777" w:rsidR="000E2704" w:rsidRDefault="00637679" w:rsidP="00EC0370">
      <w:pPr>
        <w:numPr>
          <w:ilvl w:val="0"/>
          <w:numId w:val="6"/>
        </w:numPr>
        <w:pBdr>
          <w:top w:val="nil"/>
          <w:left w:val="nil"/>
          <w:bottom w:val="nil"/>
          <w:right w:val="nil"/>
          <w:between w:val="nil"/>
        </w:pBdr>
        <w:tabs>
          <w:tab w:val="left" w:pos="837"/>
        </w:tabs>
        <w:spacing w:before="145" w:line="259" w:lineRule="auto"/>
        <w:ind w:left="833" w:right="108" w:hanging="357"/>
        <w:jc w:val="both"/>
      </w:pPr>
      <w:r>
        <w:rPr>
          <w:color w:val="000000"/>
        </w:rPr>
        <w:t>V případě neuhrazení faktury Příkazcem v termínu splatnosti, neposkytnutí podkladů či poskytnutí nesprávných podkladů, nesoučinnosti s Příkazníkem delší, než určí Příkazník dle důvodu a předmětu vyžadované součinnosti, pokud nebude písemně či elektronickou poštou předem dohodnuto jinak, má Příkazník právo odstoupit od Smlouvy. Veškeré neuhrazené pohledávky musí být vyrovnány nejpozději do 30 kalendářních dnů od odstoupení nebo ukončení Smlouvy.</w:t>
      </w:r>
    </w:p>
    <w:p w14:paraId="098FA268" w14:textId="77777777" w:rsidR="000E2704" w:rsidRDefault="00637679" w:rsidP="004F34C4">
      <w:pPr>
        <w:pStyle w:val="Nadpis1"/>
        <w:ind w:firstLine="125"/>
      </w:pPr>
      <w:r>
        <w:t>Článek IV</w:t>
      </w:r>
    </w:p>
    <w:p w14:paraId="6656323E" w14:textId="77777777" w:rsidR="000E2704" w:rsidRDefault="00637679" w:rsidP="004F34C4">
      <w:pPr>
        <w:pStyle w:val="Nadpis2"/>
        <w:ind w:firstLine="125"/>
      </w:pPr>
      <w:r>
        <w:t>Povinnosti Příkazce</w:t>
      </w:r>
    </w:p>
    <w:p w14:paraId="13D252C9" w14:textId="77777777" w:rsidR="000E2704" w:rsidRDefault="00637679" w:rsidP="00EC0370">
      <w:pPr>
        <w:keepLines/>
        <w:numPr>
          <w:ilvl w:val="0"/>
          <w:numId w:val="1"/>
        </w:numPr>
        <w:pBdr>
          <w:top w:val="nil"/>
          <w:left w:val="nil"/>
          <w:bottom w:val="nil"/>
          <w:right w:val="nil"/>
          <w:between w:val="nil"/>
        </w:pBdr>
        <w:tabs>
          <w:tab w:val="left" w:pos="837"/>
        </w:tabs>
        <w:spacing w:before="145" w:line="259" w:lineRule="auto"/>
        <w:ind w:right="108"/>
        <w:jc w:val="both"/>
      </w:pPr>
      <w:r>
        <w:rPr>
          <w:color w:val="000000"/>
        </w:rPr>
        <w:t>V případě, že má v rámci výkonu předmětných činností Příkazník právně jednat jménem Příkazce, vystaví mu Příkazce na výzvu plnou moc v nutném rozsahu.</w:t>
      </w:r>
    </w:p>
    <w:p w14:paraId="06BEAFD5" w14:textId="77777777" w:rsidR="000E2704" w:rsidRDefault="00637679" w:rsidP="00EC0370">
      <w:pPr>
        <w:keepLines/>
        <w:numPr>
          <w:ilvl w:val="0"/>
          <w:numId w:val="1"/>
        </w:numPr>
        <w:pBdr>
          <w:top w:val="nil"/>
          <w:left w:val="nil"/>
          <w:bottom w:val="nil"/>
          <w:right w:val="nil"/>
          <w:between w:val="nil"/>
        </w:pBdr>
        <w:tabs>
          <w:tab w:val="left" w:pos="837"/>
        </w:tabs>
        <w:spacing w:before="145" w:line="259" w:lineRule="auto"/>
        <w:ind w:left="833" w:right="108" w:hanging="357"/>
        <w:jc w:val="both"/>
      </w:pPr>
      <w:r>
        <w:rPr>
          <w:color w:val="000000"/>
        </w:rPr>
        <w:lastRenderedPageBreak/>
        <w:t>Příkazce se zavazuje předat Příkazníkovi včas veškeré podklady a informace, které v průběhu plnění této Smlouvy získá a které by mohly mít význam pro plnění této Smlouvy, a poskytovat mu potřebou součinnost. Součinnost je Příkazce povinen Příkazníkovi poskytnout též vždy na jeho výzvu, a to ve lhůtě určené Příkazníkem, která musí být přiměřená důvodům a předmětu vyžadované součinnosti.</w:t>
      </w:r>
    </w:p>
    <w:p w14:paraId="5C6C2471" w14:textId="77777777" w:rsidR="000E2704" w:rsidRDefault="00637679" w:rsidP="00EC0370">
      <w:pPr>
        <w:keepLines/>
        <w:numPr>
          <w:ilvl w:val="0"/>
          <w:numId w:val="1"/>
        </w:numPr>
        <w:pBdr>
          <w:top w:val="nil"/>
          <w:left w:val="nil"/>
          <w:bottom w:val="nil"/>
          <w:right w:val="nil"/>
          <w:between w:val="nil"/>
        </w:pBdr>
        <w:tabs>
          <w:tab w:val="left" w:pos="837"/>
        </w:tabs>
        <w:spacing w:before="145" w:line="259" w:lineRule="auto"/>
        <w:ind w:left="833" w:right="108" w:hanging="357"/>
        <w:jc w:val="both"/>
      </w:pPr>
      <w:r>
        <w:rPr>
          <w:color w:val="000000"/>
        </w:rPr>
        <w:t>Příkazce umožní po celou dobu trvání této Smlouvy Příkazníkovi vstupovat do prostoru staveniště díla za účelem plnění závazků stanovených touto Smlouvou.</w:t>
      </w:r>
    </w:p>
    <w:p w14:paraId="25BF5665" w14:textId="56C57BE7" w:rsidR="000E2704" w:rsidRPr="00504E1B" w:rsidRDefault="00637679" w:rsidP="00EC0370">
      <w:pPr>
        <w:keepLines/>
        <w:numPr>
          <w:ilvl w:val="0"/>
          <w:numId w:val="1"/>
        </w:numPr>
        <w:pBdr>
          <w:top w:val="nil"/>
          <w:left w:val="nil"/>
          <w:bottom w:val="nil"/>
          <w:right w:val="nil"/>
          <w:between w:val="nil"/>
        </w:pBdr>
        <w:tabs>
          <w:tab w:val="left" w:pos="837"/>
        </w:tabs>
        <w:spacing w:before="145" w:line="259" w:lineRule="auto"/>
        <w:ind w:left="833" w:right="108" w:hanging="357"/>
        <w:jc w:val="both"/>
      </w:pPr>
      <w:r>
        <w:rPr>
          <w:color w:val="000000"/>
        </w:rPr>
        <w:t>Má-li Příkazce výhrady či námitky proti postupu Příkazníka (např. pokud zjistí, že Příkazník jedná bez jeho pokynu, nebo v rozporu s jeho vůlí), je povinen bez zbytečného odkladu poté, co se o takovém postupu dozví, tyto námitky či výhrady u Příkazníka uplatnit.</w:t>
      </w:r>
    </w:p>
    <w:p w14:paraId="38623895" w14:textId="77777777" w:rsidR="000E2704" w:rsidRDefault="00637679" w:rsidP="004F34C4">
      <w:pPr>
        <w:pStyle w:val="Nadpis1"/>
        <w:ind w:firstLine="125"/>
      </w:pPr>
      <w:r>
        <w:t>Článek V</w:t>
      </w:r>
    </w:p>
    <w:p w14:paraId="2B218871" w14:textId="77777777" w:rsidR="000E2704" w:rsidRDefault="00637679" w:rsidP="004F34C4">
      <w:pPr>
        <w:pStyle w:val="Nadpis2"/>
        <w:ind w:firstLine="125"/>
      </w:pPr>
      <w:r>
        <w:t>Povinnosti Příkazníka</w:t>
      </w:r>
    </w:p>
    <w:p w14:paraId="407C2880" w14:textId="77777777" w:rsidR="000E2704" w:rsidRDefault="00637679" w:rsidP="00EC0370">
      <w:pPr>
        <w:keepLines/>
        <w:numPr>
          <w:ilvl w:val="0"/>
          <w:numId w:val="3"/>
        </w:numPr>
        <w:pBdr>
          <w:top w:val="nil"/>
          <w:left w:val="nil"/>
          <w:bottom w:val="nil"/>
          <w:right w:val="nil"/>
          <w:between w:val="nil"/>
        </w:pBdr>
        <w:spacing w:before="119"/>
        <w:ind w:right="108"/>
        <w:jc w:val="both"/>
      </w:pPr>
      <w:r>
        <w:rPr>
          <w:color w:val="000000"/>
        </w:rPr>
        <w:t>Příkazník je povinen při výkonu předmětných činností dbát pokynů Příkazce v souladu s příslušnými platnými právními předpisy České republiky. Příkazník je povinen upozornit Příkazce na zřejmě nesprávný pokyn, a to bez zbytečného odkladu, a s jeho plněním vyčkat až do doby, než příkazce potvrdí Příkazníkovi, že na splnění pokynu přesto trvá. Neobdrží-li takové potvrzení, pokyn plnit nebude. Příkazník je rovněž povinen upozornit Příkazce, že zjistil okolnosti, které mohou mít vliv na změnu pokynů Příkazce. V případě, že Příkazce na splnění pokynů trvá, neodpovídá Příkazník za škodu takto vzniklou. Od pokynů Příkazce je Příkazník oprávněn se odchýlit v případě, že je to nezbytné v zájmu Příkazce a Příkazník si nemůže včas obstarat jeho souhlas.</w:t>
      </w:r>
    </w:p>
    <w:p w14:paraId="762A7AFB" w14:textId="77777777" w:rsidR="000E2704" w:rsidRDefault="00637679" w:rsidP="00EC0370">
      <w:pPr>
        <w:keepLines/>
        <w:numPr>
          <w:ilvl w:val="0"/>
          <w:numId w:val="3"/>
        </w:numPr>
        <w:pBdr>
          <w:top w:val="nil"/>
          <w:left w:val="nil"/>
          <w:bottom w:val="nil"/>
          <w:right w:val="nil"/>
          <w:between w:val="nil"/>
        </w:pBdr>
        <w:tabs>
          <w:tab w:val="left" w:pos="837"/>
        </w:tabs>
        <w:spacing w:before="145" w:line="259" w:lineRule="auto"/>
        <w:ind w:left="833" w:right="108" w:hanging="357"/>
        <w:jc w:val="both"/>
      </w:pPr>
      <w:r>
        <w:rPr>
          <w:color w:val="000000"/>
        </w:rPr>
        <w:t>Příkazník je povinen průběžně kontrolovat povinnosti zhotovitelů stavby a předkládat Příkazci návrhy na případné sankční postihy zhotovitelů stavby dle uzavřených smluv a při jejich změnách vyvinout maximální úsilí pro včasné uzavření dodatků Příkazcem (změny termínů dokončení stavby, ceny díla, resp. jiných podstatných náležitostí Smlouvy). Dodatky smluv musí být podepsány před uplynutím těch lhůt, které jsou předmětem úprav.</w:t>
      </w:r>
    </w:p>
    <w:p w14:paraId="56BCF022" w14:textId="77777777" w:rsidR="000E2704" w:rsidRDefault="00637679" w:rsidP="00EC0370">
      <w:pPr>
        <w:keepLines/>
        <w:numPr>
          <w:ilvl w:val="0"/>
          <w:numId w:val="3"/>
        </w:numPr>
        <w:pBdr>
          <w:top w:val="nil"/>
          <w:left w:val="nil"/>
          <w:bottom w:val="nil"/>
          <w:right w:val="nil"/>
          <w:between w:val="nil"/>
        </w:pBdr>
        <w:tabs>
          <w:tab w:val="left" w:pos="837"/>
        </w:tabs>
        <w:spacing w:before="145" w:line="259" w:lineRule="auto"/>
        <w:ind w:left="833" w:right="108" w:hanging="357"/>
        <w:jc w:val="both"/>
      </w:pPr>
      <w:r>
        <w:rPr>
          <w:color w:val="000000"/>
        </w:rPr>
        <w:t>Příkazník není oprávněn bez předchozího souhlasu Příkazce jakýmkoliv způsobem měnit věcný rozsah stavby oproti pravomocným správním rozhodnutím a schválené projektové dokumentaci, termíny realizace, či akceptovat vícepráce zvyšující náklady stavby.</w:t>
      </w:r>
    </w:p>
    <w:p w14:paraId="2955396C" w14:textId="77777777" w:rsidR="000E2704" w:rsidRDefault="00637679" w:rsidP="00EC0370">
      <w:pPr>
        <w:keepLines/>
        <w:numPr>
          <w:ilvl w:val="0"/>
          <w:numId w:val="3"/>
        </w:numPr>
        <w:pBdr>
          <w:top w:val="nil"/>
          <w:left w:val="nil"/>
          <w:bottom w:val="nil"/>
          <w:right w:val="nil"/>
          <w:between w:val="nil"/>
        </w:pBdr>
        <w:tabs>
          <w:tab w:val="left" w:pos="837"/>
        </w:tabs>
        <w:spacing w:before="145" w:line="259" w:lineRule="auto"/>
        <w:ind w:left="833" w:right="108" w:hanging="357"/>
        <w:jc w:val="both"/>
      </w:pPr>
      <w:r>
        <w:rPr>
          <w:color w:val="000000"/>
        </w:rPr>
        <w:t>Příkazník vyzve Příkazce k účasti na všech podstatných jednáních a vyžádá si jeho stanovisko ke všem důležitým rozhodnutím.</w:t>
      </w:r>
    </w:p>
    <w:p w14:paraId="45889B62" w14:textId="77777777" w:rsidR="000E2704" w:rsidRDefault="00637679" w:rsidP="00EC0370">
      <w:pPr>
        <w:keepLines/>
        <w:numPr>
          <w:ilvl w:val="0"/>
          <w:numId w:val="3"/>
        </w:numPr>
        <w:pBdr>
          <w:top w:val="nil"/>
          <w:left w:val="nil"/>
          <w:bottom w:val="nil"/>
          <w:right w:val="nil"/>
          <w:between w:val="nil"/>
        </w:pBdr>
        <w:tabs>
          <w:tab w:val="left" w:pos="837"/>
        </w:tabs>
        <w:spacing w:before="145" w:line="259" w:lineRule="auto"/>
        <w:ind w:left="833" w:right="108" w:hanging="357"/>
        <w:jc w:val="both"/>
      </w:pPr>
      <w:r>
        <w:t>Příkazník je povinen provádět předmětné činnosti včas a řádně informovat Příkazce o stavu obstarávaných záležitostí a vyžadovat jeho pokyny v případech, kdy nejde o věci běžné a obvyklé. V těchto případech je Příkazník oprávněn požadovat, aby Příkazce konal sám.</w:t>
      </w:r>
    </w:p>
    <w:p w14:paraId="20594D6B" w14:textId="4A623EB8" w:rsidR="000E2704" w:rsidRPr="00504E1B" w:rsidRDefault="00637679" w:rsidP="00EC0370">
      <w:pPr>
        <w:keepLines/>
        <w:numPr>
          <w:ilvl w:val="0"/>
          <w:numId w:val="3"/>
        </w:numPr>
        <w:pBdr>
          <w:top w:val="nil"/>
          <w:left w:val="nil"/>
          <w:bottom w:val="nil"/>
          <w:right w:val="nil"/>
          <w:between w:val="nil"/>
        </w:pBdr>
        <w:tabs>
          <w:tab w:val="left" w:pos="837"/>
        </w:tabs>
        <w:spacing w:before="145" w:line="259" w:lineRule="auto"/>
        <w:ind w:left="833" w:right="108" w:hanging="357"/>
        <w:jc w:val="both"/>
      </w:pPr>
      <w:r>
        <w:rPr>
          <w:color w:val="000000"/>
        </w:rPr>
        <w:t>Příkazník není povinen provádět činnosti podle této Smlouvy osobně a je oprávněn jejich provádění svěřit jiné osobě. Pokud však svěří provádění činností podle této Smlouvy jiné osobě, odpovídá příkazník, jako by je prováděl sám.</w:t>
      </w:r>
    </w:p>
    <w:p w14:paraId="1CFBBC18" w14:textId="77777777" w:rsidR="000E2704" w:rsidRDefault="00637679" w:rsidP="004F34C4">
      <w:pPr>
        <w:pStyle w:val="Nadpis1"/>
        <w:ind w:firstLine="125"/>
      </w:pPr>
      <w:r>
        <w:t>Článek VI</w:t>
      </w:r>
    </w:p>
    <w:p w14:paraId="006B9D5E" w14:textId="77777777" w:rsidR="000E2704" w:rsidRDefault="00637679" w:rsidP="004F34C4">
      <w:pPr>
        <w:pStyle w:val="Nadpis2"/>
        <w:ind w:firstLine="125"/>
      </w:pPr>
      <w:r>
        <w:t>Odpovědnost Příkazníka</w:t>
      </w:r>
    </w:p>
    <w:p w14:paraId="3B80DEEA" w14:textId="77777777" w:rsidR="000E2704" w:rsidRDefault="00637679" w:rsidP="00EC0370">
      <w:pPr>
        <w:keepLines/>
        <w:numPr>
          <w:ilvl w:val="0"/>
          <w:numId w:val="2"/>
        </w:numPr>
        <w:pBdr>
          <w:top w:val="nil"/>
          <w:left w:val="nil"/>
          <w:bottom w:val="nil"/>
          <w:right w:val="nil"/>
          <w:between w:val="nil"/>
        </w:pBdr>
        <w:tabs>
          <w:tab w:val="left" w:pos="837"/>
        </w:tabs>
        <w:spacing w:before="145" w:line="259" w:lineRule="auto"/>
        <w:ind w:right="108"/>
        <w:jc w:val="both"/>
      </w:pPr>
      <w:r>
        <w:rPr>
          <w:color w:val="000000"/>
        </w:rPr>
        <w:t>Příkazník odpovídá za řádný, včasný a kvalitní výkon předmětných činností v rozsahu stanoveném příslušnými právními předpisy a touto Smlouvou.</w:t>
      </w:r>
    </w:p>
    <w:p w14:paraId="59F48096" w14:textId="360CED97" w:rsidR="000E2704" w:rsidRDefault="00637679" w:rsidP="00EC0370">
      <w:pPr>
        <w:keepLines/>
        <w:numPr>
          <w:ilvl w:val="0"/>
          <w:numId w:val="2"/>
        </w:numPr>
        <w:pBdr>
          <w:top w:val="nil"/>
          <w:left w:val="nil"/>
          <w:bottom w:val="nil"/>
          <w:right w:val="nil"/>
          <w:between w:val="nil"/>
        </w:pBdr>
        <w:tabs>
          <w:tab w:val="left" w:pos="837"/>
        </w:tabs>
        <w:spacing w:before="145" w:line="259" w:lineRule="auto"/>
        <w:ind w:right="108"/>
        <w:jc w:val="both"/>
      </w:pPr>
      <w:r>
        <w:rPr>
          <w:color w:val="000000"/>
        </w:rPr>
        <w:lastRenderedPageBreak/>
        <w:t>Příkazník se nedostane do prodlení s plněním jakýchkoli svých povinností podle této smlouvy nebo jeho prodlení nebude nadále trvat, ani není odpovědný za škodu vzniklou druhé smluvní straně vzniklé v důsledku prodlení s plněním povinností podle této smlouvy, brání-li mu ve splnění jeho povinnosti událost vyšší moci, nebo taková událost plnění jeho povinností nepřiměřeně ztěžuje. Událostí vyšší moci se pro účely této smlouvy rozumí mimořádná, nepředvídatelná, neodvratitelná a jím nezaviněná událost a dále vždy i bez splnění těchto podmínek válka, občanská válka, válečná událost, válečná invaze, vpád zahraničního nepřítele, válečný stav vyhlášený nebo nevyhlášený, revoluční události, rebelie, povstání, vzpoura, převrat, teroristický útok (tj. násilné jednání motivované politicky, sociálně, ideologicky nebo nábožensky), jakož i důvodné obavy budící hrozba takovým útokem, jiný teroristický akt, nepokoj či výtržnost, jsou-li vyvolané někým jiným než Příkazníkem, mezinárodní mírová mise, účinky radiace a ionizujícího záření či kontaminace prostředí, chemický či biologický útok či kontaminace, přírodní katastrofy (jako zemětřesení, povodeň, záplava, extrémně silný vítr, tornádo, bouře, vulkanická činnost apod.), epidemie či pandemie, opatření orgánů veřejné moci, to vše i v případě, kdy k těmto nedochází v místě plnění nebo v České republice, avšak tyto události mají vliv na možnost nebo podmínky plnění této smlouvy Příkazníkem.</w:t>
      </w:r>
    </w:p>
    <w:p w14:paraId="545DE51C" w14:textId="363A27FE" w:rsidR="000E2704" w:rsidRDefault="00637679" w:rsidP="00EC0370">
      <w:pPr>
        <w:keepLines/>
        <w:numPr>
          <w:ilvl w:val="0"/>
          <w:numId w:val="2"/>
        </w:numPr>
        <w:pBdr>
          <w:top w:val="nil"/>
          <w:left w:val="nil"/>
          <w:bottom w:val="nil"/>
          <w:right w:val="nil"/>
          <w:between w:val="nil"/>
        </w:pBdr>
        <w:tabs>
          <w:tab w:val="left" w:pos="837"/>
        </w:tabs>
        <w:spacing w:before="145" w:line="259" w:lineRule="auto"/>
        <w:ind w:right="108"/>
        <w:jc w:val="both"/>
      </w:pPr>
      <w:r>
        <w:rPr>
          <w:color w:val="000000"/>
        </w:rPr>
        <w:t xml:space="preserve">O tom, že plnění povinností Příkazníka bude dotčeno událostí vyšší moci je Příkazník povinen bez zbytečného odkladu poté, kdy se o události vyšší moci a jejím vlivu na plnění jeho povinností podle této smlouvy dozvěděl, vyrozumět Příkazce, a to telefonicky a e-mailem. Ve vyrozumění příkazník uvede důvod, pro který nebude moci své povinnosti plnit a zároveň odhadovanou dobu trvání tohoto stavu. </w:t>
      </w:r>
    </w:p>
    <w:p w14:paraId="312B3ECF" w14:textId="77777777" w:rsidR="000E2704" w:rsidRDefault="00637679" w:rsidP="004F34C4">
      <w:pPr>
        <w:keepNext/>
        <w:keepLines/>
        <w:widowControl/>
        <w:spacing w:before="240" w:line="256" w:lineRule="auto"/>
        <w:jc w:val="center"/>
        <w:rPr>
          <w:sz w:val="32"/>
          <w:szCs w:val="32"/>
        </w:rPr>
      </w:pPr>
      <w:r>
        <w:rPr>
          <w:sz w:val="32"/>
          <w:szCs w:val="32"/>
        </w:rPr>
        <w:t>Článek VII</w:t>
      </w:r>
    </w:p>
    <w:p w14:paraId="63156AA8" w14:textId="77777777" w:rsidR="000E2704" w:rsidRDefault="00637679" w:rsidP="004F34C4">
      <w:pPr>
        <w:keepNext/>
        <w:keepLines/>
        <w:widowControl/>
        <w:spacing w:before="40" w:after="120" w:line="256" w:lineRule="auto"/>
        <w:jc w:val="center"/>
        <w:rPr>
          <w:sz w:val="24"/>
          <w:szCs w:val="24"/>
        </w:rPr>
      </w:pPr>
      <w:r>
        <w:rPr>
          <w:sz w:val="24"/>
          <w:szCs w:val="24"/>
        </w:rPr>
        <w:t>Pořizování a užití obrazových a jiných záznamů</w:t>
      </w:r>
    </w:p>
    <w:p w14:paraId="47A9989B" w14:textId="78FA4994" w:rsidR="000E2704" w:rsidRDefault="00637679" w:rsidP="00EC0370">
      <w:pPr>
        <w:widowControl/>
        <w:numPr>
          <w:ilvl w:val="0"/>
          <w:numId w:val="5"/>
        </w:numPr>
        <w:spacing w:before="40" w:after="120" w:line="256" w:lineRule="auto"/>
        <w:jc w:val="both"/>
      </w:pPr>
      <w:bookmarkStart w:id="0" w:name="_heading=h.gjdgxs" w:colFirst="0" w:colLast="0"/>
      <w:bookmarkEnd w:id="0"/>
      <w:r>
        <w:t>Příkazce souhlasí s tím, aby Příkazník pořizoval na vlastní náklady sám nebo prostřednictvím třetí osoby fotodokumentaci, audiovizuální záznamy i hrubé popisy stavby a</w:t>
      </w:r>
      <w:r w:rsidR="00587C82">
        <w:t> </w:t>
      </w:r>
      <w:r>
        <w:t xml:space="preserve">jejího provádění, včetně činnosti Příkazníka, a to v průběhu stavební akce i po jejím skončení. Takto pořízené záznamy a popisy je Příkazník oprávněn použít jak pro účely prokázání průběhu provádění </w:t>
      </w:r>
    </w:p>
    <w:p w14:paraId="50504986" w14:textId="77777777" w:rsidR="000E2704" w:rsidRDefault="00637679" w:rsidP="00EC0370">
      <w:pPr>
        <w:widowControl/>
        <w:spacing w:before="40" w:after="120" w:line="256" w:lineRule="auto"/>
        <w:ind w:left="720"/>
        <w:jc w:val="both"/>
      </w:pPr>
      <w:r>
        <w:t xml:space="preserve">stavby, činnosti zhotovitele a své činnosti, tak i pro účely veřejné i neveřejné prezentace svých služeb, v elektronické i tištěné podobě, zejména je oprávněn zveřejnit je na webových stránkách a sociálních sítích. </w:t>
      </w:r>
    </w:p>
    <w:p w14:paraId="33218401" w14:textId="77777777" w:rsidR="000E2704" w:rsidRDefault="00637679" w:rsidP="00EC0370">
      <w:pPr>
        <w:widowControl/>
        <w:numPr>
          <w:ilvl w:val="0"/>
          <w:numId w:val="5"/>
        </w:numPr>
        <w:spacing w:before="40" w:after="120" w:line="256" w:lineRule="auto"/>
        <w:jc w:val="both"/>
      </w:pPr>
      <w:r>
        <w:t>Příkazník není oprávněn při užití takto pořízených materiálů pro marketingové účely uvádět adresu stavby (je však oprávněn uvést obec či část obce), ani žádné osobní údaje osob, jejichž výslovný písemný souhlas Příkazník neobdržel. Fotografie, videozáznamy a jiné materiály užité k marketingovým účelům rovněž nebudou zachycovat podobiznu ani žádné jiné projevy osob, jejichž výslovný písemný souhlas Příkazník neobdržel.</w:t>
      </w:r>
    </w:p>
    <w:p w14:paraId="404851CF" w14:textId="38B72FE5" w:rsidR="000E2704" w:rsidRPr="00504E1B" w:rsidRDefault="00637679" w:rsidP="00EC0370">
      <w:pPr>
        <w:widowControl/>
        <w:numPr>
          <w:ilvl w:val="0"/>
          <w:numId w:val="5"/>
        </w:numPr>
        <w:spacing w:before="40" w:after="120" w:line="256" w:lineRule="auto"/>
        <w:jc w:val="both"/>
      </w:pPr>
      <w:bookmarkStart w:id="1" w:name="_heading=h.30j0zll" w:colFirst="0" w:colLast="0"/>
      <w:bookmarkEnd w:id="1"/>
      <w:r>
        <w:t>Souhlas podle tohoto článku je udělován na dobu neurčitou. Příkazce je oprávněn vypovědět ujednání o poskytnutí souhlasu podle tohoto článku s užitím k marketingovým účelům písemnou výpovědí doručenou Příkazníkovi, a to z jakéhokoli důvodu nebo bez uvedení důvodu. Po doručení výpovědi je Příkazník povinen okamžitě přestat dále rozšiřovat pořízené materiály a je povinen ve lhůtě 1 týdne odstranit pořízené materiály ze svých webových stránek a znepřístupnit je na svých účtech na sociálních sítích. Příkazník je rovněž povinen vyhovět žádosti Příkazce o odstranění, znepřístupnění nebo další nerozšiřování jen některého z použitých záznamů či materiálů. Pro svou potřebu, pro potřebu prokázání průběhu provádění stavby, činnosti zhotovitele a své činnosti je Příkazník oprávněn uchovávat a užívat pořízené záznamy i nadále.</w:t>
      </w:r>
    </w:p>
    <w:p w14:paraId="31773676" w14:textId="77777777" w:rsidR="000E2704" w:rsidRDefault="00637679" w:rsidP="004F34C4">
      <w:pPr>
        <w:pStyle w:val="Nadpis1"/>
        <w:ind w:firstLine="125"/>
      </w:pPr>
      <w:r>
        <w:lastRenderedPageBreak/>
        <w:t>Článek VIII</w:t>
      </w:r>
    </w:p>
    <w:p w14:paraId="4571128D" w14:textId="77777777" w:rsidR="000E2704" w:rsidRDefault="00637679" w:rsidP="004F34C4">
      <w:pPr>
        <w:pStyle w:val="Nadpis2"/>
        <w:ind w:firstLine="125"/>
      </w:pPr>
      <w:r>
        <w:t>Závěrečná ustanovení</w:t>
      </w:r>
    </w:p>
    <w:p w14:paraId="1DE18238"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Obě Smluvní strany se zavazují, že zachovají jako důvěrné informace a zprávy týkající se spolupráce a vnitřních záležitostí Smluvních stran, pokud by jejich zveřejnění mohlo jednu ze stran poškodit.</w:t>
      </w:r>
    </w:p>
    <w:p w14:paraId="6F4D4D65"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Změny této Smlouvy je možné dosáhnout pouze písemnou dohodou Smluvních stran označenou jako Dodatek této Smlouvy.</w:t>
      </w:r>
    </w:p>
    <w:p w14:paraId="039F1E98"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Tato Smlouva je sepsána ve dvou stejnopisech váženosti originálu, z nichž si každá Strana ponechá jeden.</w:t>
      </w:r>
    </w:p>
    <w:p w14:paraId="0A656D49" w14:textId="77777777" w:rsidR="000E2704" w:rsidRDefault="00637679" w:rsidP="00EC0370">
      <w:pPr>
        <w:keepLines/>
        <w:numPr>
          <w:ilvl w:val="0"/>
          <w:numId w:val="4"/>
        </w:numPr>
        <w:pBdr>
          <w:top w:val="nil"/>
          <w:left w:val="nil"/>
          <w:bottom w:val="nil"/>
          <w:right w:val="nil"/>
          <w:between w:val="nil"/>
        </w:pBdr>
        <w:spacing w:before="119"/>
        <w:ind w:right="108"/>
        <w:jc w:val="both"/>
      </w:pPr>
      <w:r>
        <w:rPr>
          <w:color w:val="000000"/>
        </w:rPr>
        <w:t>Jestliže by některá ustanovení této Smlouvy nebo její budoucí ustanovení byla zcela nebo zčásti právně neplatná nebo by pozbyla platnosti později, nebude tím platnost ostatních ustanovení této Smlouvy dotčena, ledaže by toto neplatné ustanovení nebylo možné oddělit od ostatních ustanovení Smlouvy. Totéž platí, pokud by vyšlo najevo, že v této Smlouvě ustanovení chybí. Namísto neplatného ustanovení nebo k vyplnění chybějícího ustanovení v úpravě bude platit přiměřená úprava, která, pokud je to právně možné, se nejvíc blíží tomu, co Smluvní strany chtěly nebo by podle smyslu a účelu Smlouvy byly bývaly chtěly, kdyby na tento bod bývaly byly pomyslely.</w:t>
      </w:r>
    </w:p>
    <w:p w14:paraId="701E489B"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Smluvní strany mohou Smlouvu kdykoliv vypovědět i bez udání důvodů. Výpověď musí být písemná. Výpovědní doba se sjednává v délce 1 kalendářního měsíce a začíná běžet prvním kalendářním dnem měsíce následujícího po měsíci, kdy byla výpověď druhé Smluvní straně doručena.</w:t>
      </w:r>
    </w:p>
    <w:p w14:paraId="54D46043"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V případě ukončení závazku z této Smlouvy výpovědí provedou Smluvní strany vypořádání vzájemných práv a povinností ke dni ukončení smluvního vztahu, nejpozději do 30 dnů od skončení účinnosti Smlouvy.</w:t>
      </w:r>
    </w:p>
    <w:p w14:paraId="727DD137" w14:textId="77777777" w:rsidR="000E2704" w:rsidRDefault="00637679" w:rsidP="00EC0370">
      <w:pPr>
        <w:keepLines/>
        <w:numPr>
          <w:ilvl w:val="0"/>
          <w:numId w:val="4"/>
        </w:numPr>
        <w:pBdr>
          <w:top w:val="nil"/>
          <w:left w:val="nil"/>
          <w:bottom w:val="nil"/>
          <w:right w:val="nil"/>
          <w:between w:val="nil"/>
        </w:pBdr>
        <w:tabs>
          <w:tab w:val="left" w:pos="837"/>
        </w:tabs>
        <w:spacing w:before="145" w:line="259" w:lineRule="auto"/>
        <w:ind w:right="108"/>
        <w:jc w:val="both"/>
      </w:pPr>
      <w:r>
        <w:rPr>
          <w:color w:val="000000"/>
        </w:rPr>
        <w:t>Otázky touto smlouvou neupravené se budou řídit příslušným ustanovením obecně závazných právních předpisů, zejména § 2430 a násl. zákona č. 89/2012 Sb., Občanský zákoník, v platném znění.</w:t>
      </w:r>
    </w:p>
    <w:p w14:paraId="4C9783F7" w14:textId="77777777" w:rsidR="000E2704" w:rsidRDefault="000E2704" w:rsidP="00EC0370">
      <w:pPr>
        <w:pBdr>
          <w:top w:val="nil"/>
          <w:left w:val="nil"/>
          <w:bottom w:val="nil"/>
          <w:right w:val="nil"/>
          <w:between w:val="nil"/>
        </w:pBdr>
        <w:spacing w:before="4"/>
        <w:jc w:val="both"/>
        <w:rPr>
          <w:color w:val="000000"/>
          <w:sz w:val="25"/>
          <w:szCs w:val="25"/>
        </w:rPr>
      </w:pPr>
    </w:p>
    <w:p w14:paraId="6BAE83C7" w14:textId="280AA96A" w:rsidR="000E2704" w:rsidRDefault="00637679" w:rsidP="00EC0370">
      <w:pPr>
        <w:pBdr>
          <w:top w:val="nil"/>
          <w:left w:val="nil"/>
          <w:bottom w:val="nil"/>
          <w:right w:val="nil"/>
          <w:between w:val="nil"/>
        </w:pBdr>
        <w:spacing w:line="410" w:lineRule="auto"/>
        <w:ind w:left="116" w:right="3492"/>
        <w:jc w:val="both"/>
        <w:rPr>
          <w:color w:val="000000"/>
        </w:rPr>
      </w:pPr>
      <w:r w:rsidRPr="00504E1B">
        <w:rPr>
          <w:color w:val="000000"/>
        </w:rPr>
        <w:t xml:space="preserve">Ve Studeněvsi dne </w:t>
      </w:r>
      <w:r w:rsidR="00504E1B" w:rsidRPr="00504E1B">
        <w:rPr>
          <w:color w:val="000000"/>
        </w:rPr>
        <w:t>21.1.</w:t>
      </w:r>
      <w:r w:rsidRPr="00504E1B">
        <w:rPr>
          <w:color w:val="000000"/>
        </w:rPr>
        <w:t>202</w:t>
      </w:r>
      <w:r w:rsidR="004624FA" w:rsidRPr="00504E1B">
        <w:rPr>
          <w:color w:val="000000"/>
        </w:rPr>
        <w:t>5</w:t>
      </w:r>
      <w:r w:rsidR="004F34C4">
        <w:rPr>
          <w:color w:val="000000"/>
        </w:rPr>
        <w:tab/>
      </w:r>
      <w:r w:rsidR="004F34C4">
        <w:rPr>
          <w:color w:val="000000"/>
        </w:rPr>
        <w:tab/>
      </w:r>
      <w:r w:rsidR="004F34C4">
        <w:rPr>
          <w:color w:val="000000"/>
        </w:rPr>
        <w:tab/>
      </w:r>
    </w:p>
    <w:p w14:paraId="21025C76" w14:textId="77777777" w:rsidR="000E2704" w:rsidRDefault="000E2704" w:rsidP="00EC0370">
      <w:pPr>
        <w:pBdr>
          <w:top w:val="nil"/>
          <w:left w:val="nil"/>
          <w:bottom w:val="nil"/>
          <w:right w:val="nil"/>
          <w:between w:val="nil"/>
        </w:pBdr>
        <w:jc w:val="both"/>
        <w:rPr>
          <w:color w:val="000000"/>
          <w:sz w:val="20"/>
          <w:szCs w:val="20"/>
        </w:rPr>
      </w:pPr>
    </w:p>
    <w:p w14:paraId="6B68C1E7" w14:textId="77777777" w:rsidR="00587C82" w:rsidRDefault="00587C82" w:rsidP="00EC0370">
      <w:pPr>
        <w:pBdr>
          <w:top w:val="nil"/>
          <w:left w:val="nil"/>
          <w:bottom w:val="nil"/>
          <w:right w:val="nil"/>
          <w:between w:val="nil"/>
        </w:pBdr>
        <w:jc w:val="both"/>
        <w:rPr>
          <w:color w:val="000000"/>
          <w:sz w:val="20"/>
          <w:szCs w:val="20"/>
        </w:rPr>
      </w:pPr>
    </w:p>
    <w:p w14:paraId="50316137" w14:textId="77777777" w:rsidR="00587C82" w:rsidRDefault="00587C82" w:rsidP="00EC0370">
      <w:pPr>
        <w:pBdr>
          <w:top w:val="nil"/>
          <w:left w:val="nil"/>
          <w:bottom w:val="nil"/>
          <w:right w:val="nil"/>
          <w:between w:val="nil"/>
        </w:pBdr>
        <w:jc w:val="both"/>
        <w:rPr>
          <w:color w:val="000000"/>
          <w:sz w:val="20"/>
          <w:szCs w:val="20"/>
        </w:rPr>
      </w:pPr>
    </w:p>
    <w:p w14:paraId="72A1D562" w14:textId="77777777" w:rsidR="000E2704" w:rsidRDefault="000E2704" w:rsidP="00EC0370">
      <w:pPr>
        <w:pBdr>
          <w:top w:val="nil"/>
          <w:left w:val="nil"/>
          <w:bottom w:val="nil"/>
          <w:right w:val="nil"/>
          <w:between w:val="nil"/>
        </w:pBdr>
        <w:jc w:val="both"/>
        <w:rPr>
          <w:color w:val="000000"/>
          <w:sz w:val="20"/>
          <w:szCs w:val="20"/>
        </w:rPr>
      </w:pPr>
    </w:p>
    <w:p w14:paraId="45840B7C" w14:textId="77777777" w:rsidR="000E2704" w:rsidRDefault="000E2704" w:rsidP="00EC0370">
      <w:pPr>
        <w:pBdr>
          <w:top w:val="nil"/>
          <w:left w:val="nil"/>
          <w:bottom w:val="nil"/>
          <w:right w:val="nil"/>
          <w:between w:val="nil"/>
        </w:pBdr>
        <w:jc w:val="both"/>
        <w:rPr>
          <w:color w:val="000000"/>
          <w:sz w:val="20"/>
          <w:szCs w:val="20"/>
        </w:rPr>
        <w:sectPr w:rsidR="000E2704">
          <w:headerReference w:type="even" r:id="rId9"/>
          <w:headerReference w:type="default" r:id="rId10"/>
          <w:footerReference w:type="even" r:id="rId11"/>
          <w:footerReference w:type="default" r:id="rId12"/>
          <w:headerReference w:type="first" r:id="rId13"/>
          <w:footerReference w:type="first" r:id="rId14"/>
          <w:pgSz w:w="11910" w:h="16840"/>
          <w:pgMar w:top="1440" w:right="1080" w:bottom="1440" w:left="1080" w:header="751" w:footer="292" w:gutter="0"/>
          <w:pgNumType w:start="1"/>
          <w:cols w:space="708"/>
        </w:sectPr>
      </w:pPr>
    </w:p>
    <w:p w14:paraId="75B969B0" w14:textId="77777777" w:rsidR="000E2704" w:rsidRDefault="00637679" w:rsidP="00EC0370">
      <w:pPr>
        <w:pBdr>
          <w:top w:val="nil"/>
          <w:left w:val="nil"/>
          <w:bottom w:val="nil"/>
          <w:right w:val="nil"/>
          <w:between w:val="nil"/>
        </w:pBdr>
        <w:spacing w:before="94"/>
        <w:ind w:left="147" w:right="21"/>
        <w:jc w:val="both"/>
        <w:rPr>
          <w:color w:val="000000"/>
        </w:rPr>
      </w:pPr>
      <w:r>
        <w:rPr>
          <w:color w:val="000000"/>
        </w:rPr>
        <w:t>……………………….……………………….</w:t>
      </w:r>
    </w:p>
    <w:p w14:paraId="65187661" w14:textId="77777777" w:rsidR="000E2704" w:rsidRDefault="00637679" w:rsidP="00EC0370">
      <w:pPr>
        <w:pBdr>
          <w:top w:val="nil"/>
          <w:left w:val="nil"/>
          <w:bottom w:val="nil"/>
          <w:right w:val="nil"/>
          <w:between w:val="nil"/>
        </w:pBdr>
        <w:spacing w:before="179"/>
        <w:ind w:left="147" w:right="19"/>
        <w:jc w:val="both"/>
        <w:rPr>
          <w:color w:val="000000"/>
        </w:rPr>
      </w:pPr>
      <w:r>
        <w:rPr>
          <w:color w:val="000000"/>
        </w:rPr>
        <w:t>Příkazce</w:t>
      </w:r>
    </w:p>
    <w:p w14:paraId="76824160" w14:textId="77777777" w:rsidR="000E2704" w:rsidRDefault="00637679" w:rsidP="00EC0370">
      <w:pPr>
        <w:pBdr>
          <w:top w:val="nil"/>
          <w:left w:val="nil"/>
          <w:bottom w:val="nil"/>
          <w:right w:val="nil"/>
          <w:between w:val="nil"/>
        </w:pBdr>
        <w:spacing w:before="94"/>
        <w:ind w:left="150" w:right="284"/>
        <w:jc w:val="both"/>
        <w:rPr>
          <w:color w:val="000000"/>
        </w:rPr>
      </w:pPr>
      <w:r>
        <w:br w:type="column"/>
      </w:r>
      <w:r>
        <w:rPr>
          <w:color w:val="000000"/>
        </w:rPr>
        <w:t>……………………….……………………….</w:t>
      </w:r>
    </w:p>
    <w:p w14:paraId="7E12ED6B" w14:textId="77777777" w:rsidR="000E2704" w:rsidRDefault="00637679" w:rsidP="00EC0370">
      <w:pPr>
        <w:pBdr>
          <w:top w:val="nil"/>
          <w:left w:val="nil"/>
          <w:bottom w:val="nil"/>
          <w:right w:val="nil"/>
          <w:between w:val="nil"/>
        </w:pBdr>
        <w:spacing w:before="179"/>
        <w:ind w:left="1732" w:right="1868"/>
        <w:jc w:val="both"/>
        <w:rPr>
          <w:color w:val="000000"/>
        </w:rPr>
      </w:pPr>
      <w:r>
        <w:rPr>
          <w:color w:val="000000"/>
        </w:rPr>
        <w:t>Příkazník</w:t>
      </w:r>
    </w:p>
    <w:sectPr w:rsidR="000E2704">
      <w:type w:val="continuous"/>
      <w:pgSz w:w="11910" w:h="16840"/>
      <w:pgMar w:top="1440" w:right="1080" w:bottom="1440" w:left="1080" w:header="708" w:footer="708" w:gutter="0"/>
      <w:cols w:num="2" w:space="708" w:equalWidth="0">
        <w:col w:w="4574" w:space="601"/>
        <w:col w:w="457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95183" w14:textId="77777777" w:rsidR="00DC2631" w:rsidRDefault="00DC2631">
      <w:r>
        <w:separator/>
      </w:r>
    </w:p>
  </w:endnote>
  <w:endnote w:type="continuationSeparator" w:id="0">
    <w:p w14:paraId="4D9D238B" w14:textId="77777777" w:rsidR="00DC2631" w:rsidRDefault="00DC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2274" w14:textId="77777777" w:rsidR="008C2367" w:rsidRDefault="008C23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33EC" w14:textId="77777777" w:rsidR="000E2704" w:rsidRDefault="0063767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D3E0983" wp14:editId="2FFFBCC2">
              <wp:simplePos x="0" y="0"/>
              <wp:positionH relativeFrom="column">
                <wp:posOffset>2730500</wp:posOffset>
              </wp:positionH>
              <wp:positionV relativeFrom="paragraph">
                <wp:posOffset>10325100</wp:posOffset>
              </wp:positionV>
              <wp:extent cx="815975" cy="194310"/>
              <wp:effectExtent l="0" t="0" r="0" b="0"/>
              <wp:wrapNone/>
              <wp:docPr id="6" name="Obdélník 6"/>
              <wp:cNvGraphicFramePr/>
              <a:graphic xmlns:a="http://schemas.openxmlformats.org/drawingml/2006/main">
                <a:graphicData uri="http://schemas.microsoft.com/office/word/2010/wordprocessingShape">
                  <wps:wsp>
                    <wps:cNvSpPr/>
                    <wps:spPr>
                      <a:xfrm>
                        <a:off x="4952300" y="3697133"/>
                        <a:ext cx="787400" cy="165735"/>
                      </a:xfrm>
                      <a:prstGeom prst="rect">
                        <a:avLst/>
                      </a:prstGeom>
                      <a:noFill/>
                      <a:ln>
                        <a:noFill/>
                      </a:ln>
                    </wps:spPr>
                    <wps:txbx>
                      <w:txbxContent>
                        <w:p w14:paraId="00F933F9" w14:textId="77777777" w:rsidR="000E2704" w:rsidRDefault="00637679">
                          <w:pPr>
                            <w:spacing w:line="245" w:lineRule="auto"/>
                            <w:ind w:left="20" w:firstLine="60"/>
                            <w:textDirection w:val="btLr"/>
                          </w:pPr>
                          <w:proofErr w:type="gramStart"/>
                          <w:r>
                            <w:rPr>
                              <w:rFonts w:ascii="Calibri" w:eastAsia="Calibri" w:hAnsi="Calibri" w:cs="Calibri"/>
                              <w:color w:val="000000"/>
                            </w:rPr>
                            <w:t xml:space="preserve">Stránka </w:t>
                          </w:r>
                          <w:r>
                            <w:rPr>
                              <w:rFonts w:ascii="Calibri" w:eastAsia="Calibri" w:hAnsi="Calibri" w:cs="Calibri"/>
                              <w:b/>
                              <w:color w:val="000000"/>
                            </w:rPr>
                            <w:t xml:space="preserve"> PAGE</w:t>
                          </w:r>
                          <w:proofErr w:type="gramEnd"/>
                          <w:r>
                            <w:rPr>
                              <w:rFonts w:ascii="Calibri" w:eastAsia="Calibri" w:hAnsi="Calibri" w:cs="Calibri"/>
                              <w:b/>
                              <w:color w:val="000000"/>
                            </w:rPr>
                            <w:t xml:space="preserve"> </w:t>
                          </w:r>
                          <w:r>
                            <w:rPr>
                              <w:color w:val="000000"/>
                            </w:rPr>
                            <w:t>1</w:t>
                          </w:r>
                          <w:r>
                            <w:rPr>
                              <w:rFonts w:ascii="Calibri" w:eastAsia="Calibri" w:hAnsi="Calibri" w:cs="Calibri"/>
                              <w:b/>
                              <w:color w:val="000000"/>
                            </w:rPr>
                            <w:t xml:space="preserve"> </w:t>
                          </w:r>
                          <w:r>
                            <w:rPr>
                              <w:rFonts w:ascii="Calibri" w:eastAsia="Calibri" w:hAnsi="Calibri" w:cs="Calibri"/>
                              <w:color w:val="000000"/>
                            </w:rPr>
                            <w:t xml:space="preserve">z </w:t>
                          </w:r>
                          <w:r>
                            <w:rPr>
                              <w:rFonts w:ascii="Calibri" w:eastAsia="Calibri" w:hAnsi="Calibri" w:cs="Calibri"/>
                              <w:b/>
                              <w:color w:val="000000"/>
                            </w:rPr>
                            <w:t>5</w:t>
                          </w:r>
                        </w:p>
                      </w:txbxContent>
                    </wps:txbx>
                    <wps:bodyPr spcFirstLastPara="1" wrap="square" lIns="0" tIns="0" rIns="0" bIns="0" anchor="t" anchorCtr="0">
                      <a:noAutofit/>
                    </wps:bodyPr>
                  </wps:wsp>
                </a:graphicData>
              </a:graphic>
            </wp:anchor>
          </w:drawing>
        </mc:Choice>
        <mc:Fallback>
          <w:pict>
            <v:rect w14:anchorId="5D3E0983" id="Obdélník 6" o:spid="_x0000_s1026" style="position:absolute;margin-left:215pt;margin-top:813pt;width:64.25pt;height:15.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" filled="f" stroked="f">
              <v:textbox inset="0,0,0,0">
                <w:txbxContent>
                  <w:p w14:paraId="00F933F9" w14:textId="77777777" w:rsidR="000E2704" w:rsidRDefault="00637679">
                    <w:pPr>
                      <w:spacing w:line="245" w:lineRule="auto"/>
                      <w:ind w:left="20" w:firstLine="60"/>
                      <w:textDirection w:val="btLr"/>
                    </w:pPr>
                    <w:proofErr w:type="gramStart"/>
                    <w:r>
                      <w:rPr>
                        <w:rFonts w:ascii="Calibri" w:eastAsia="Calibri" w:hAnsi="Calibri" w:cs="Calibri"/>
                        <w:color w:val="000000"/>
                      </w:rPr>
                      <w:t xml:space="preserve">Stránka </w:t>
                    </w:r>
                    <w:r>
                      <w:rPr>
                        <w:rFonts w:ascii="Calibri" w:eastAsia="Calibri" w:hAnsi="Calibri" w:cs="Calibri"/>
                        <w:b/>
                        <w:color w:val="000000"/>
                      </w:rPr>
                      <w:t xml:space="preserve"> PAGE</w:t>
                    </w:r>
                    <w:proofErr w:type="gramEnd"/>
                    <w:r>
                      <w:rPr>
                        <w:rFonts w:ascii="Calibri" w:eastAsia="Calibri" w:hAnsi="Calibri" w:cs="Calibri"/>
                        <w:b/>
                        <w:color w:val="000000"/>
                      </w:rPr>
                      <w:t xml:space="preserve"> </w:t>
                    </w:r>
                    <w:r>
                      <w:rPr>
                        <w:color w:val="000000"/>
                      </w:rPr>
                      <w:t>1</w:t>
                    </w:r>
                    <w:r>
                      <w:rPr>
                        <w:rFonts w:ascii="Calibri" w:eastAsia="Calibri" w:hAnsi="Calibri" w:cs="Calibri"/>
                        <w:b/>
                        <w:color w:val="000000"/>
                      </w:rPr>
                      <w:t xml:space="preserve"> </w:t>
                    </w:r>
                    <w:r>
                      <w:rPr>
                        <w:rFonts w:ascii="Calibri" w:eastAsia="Calibri" w:hAnsi="Calibri" w:cs="Calibri"/>
                        <w:color w:val="000000"/>
                      </w:rPr>
                      <w:t xml:space="preserve">z </w:t>
                    </w:r>
                    <w:r>
                      <w:rPr>
                        <w:rFonts w:ascii="Calibri" w:eastAsia="Calibri" w:hAnsi="Calibri" w:cs="Calibri"/>
                        <w:b/>
                        <w:color w:val="000000"/>
                      </w:rPr>
                      <w:t>5</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2062" w14:textId="77777777" w:rsidR="008C2367" w:rsidRDefault="008C23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5DFC" w14:textId="77777777" w:rsidR="00DC2631" w:rsidRDefault="00DC2631">
      <w:r>
        <w:separator/>
      </w:r>
    </w:p>
  </w:footnote>
  <w:footnote w:type="continuationSeparator" w:id="0">
    <w:p w14:paraId="294EB0AC" w14:textId="77777777" w:rsidR="00DC2631" w:rsidRDefault="00DC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915F" w14:textId="77777777" w:rsidR="008C2367" w:rsidRDefault="008C23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3B43" w14:textId="77777777" w:rsidR="000E2704" w:rsidRPr="008340A5" w:rsidRDefault="00637679">
    <w:pPr>
      <w:spacing w:line="245" w:lineRule="auto"/>
      <w:ind w:left="20" w:firstLine="20"/>
    </w:pPr>
    <w:r w:rsidRPr="008340A5">
      <w:rPr>
        <w:rFonts w:ascii="Calibri" w:eastAsia="Calibri" w:hAnsi="Calibri" w:cs="Calibri"/>
        <w:color w:val="000000"/>
      </w:rPr>
      <w:t xml:space="preserve">Příkazní smlouva TDS a </w:t>
    </w:r>
    <w:proofErr w:type="spellStart"/>
    <w:r w:rsidRPr="008340A5">
      <w:rPr>
        <w:rFonts w:ascii="Calibri" w:eastAsia="Calibri" w:hAnsi="Calibri" w:cs="Calibri"/>
        <w:color w:val="000000"/>
      </w:rPr>
      <w:t>KooBOZP</w:t>
    </w:r>
    <w:proofErr w:type="spellEnd"/>
    <w:r w:rsidRPr="008340A5">
      <w:rPr>
        <w:rFonts w:ascii="Calibri" w:eastAsia="Calibri" w:hAnsi="Calibri" w:cs="Calibri"/>
        <w:color w:val="000000"/>
      </w:rPr>
      <w:t xml:space="preserve"> na projektu</w:t>
    </w:r>
  </w:p>
  <w:p w14:paraId="15E238BB" w14:textId="20674439" w:rsidR="000E2704" w:rsidRPr="008340A5" w:rsidRDefault="00637679">
    <w:pPr>
      <w:spacing w:line="245" w:lineRule="auto"/>
      <w:ind w:left="20" w:firstLine="20"/>
    </w:pPr>
    <w:r w:rsidRPr="008340A5">
      <w:rPr>
        <w:rFonts w:ascii="Calibri" w:eastAsia="Calibri" w:hAnsi="Calibri" w:cs="Calibri"/>
        <w:color w:val="000000"/>
      </w:rPr>
      <w:t>„</w:t>
    </w:r>
    <w:r w:rsidR="001B7732" w:rsidRPr="008340A5">
      <w:rPr>
        <w:rFonts w:ascii="Calibri" w:eastAsia="Calibri" w:hAnsi="Calibri" w:cs="Calibri"/>
        <w:color w:val="000000"/>
      </w:rPr>
      <w:t>Přesun a výstavba vodojemů ve středisku Ruda u Nového Strašecí</w:t>
    </w:r>
    <w:r w:rsidRPr="008340A5">
      <w:rPr>
        <w:rFonts w:ascii="Calibri" w:eastAsia="Calibri" w:hAnsi="Calibri" w:cs="Calibri"/>
        <w:color w:val="000000"/>
      </w:rPr>
      <w:t>“</w:t>
    </w:r>
    <w:r w:rsidR="008340A5">
      <w:rPr>
        <w:rFonts w:ascii="Calibri" w:eastAsia="Calibri" w:hAnsi="Calibri" w:cs="Calibri"/>
        <w:color w:val="000000"/>
      </w:rPr>
      <w:tab/>
    </w:r>
    <w:r w:rsidR="008340A5">
      <w:rPr>
        <w:rFonts w:ascii="Calibri" w:eastAsia="Calibri" w:hAnsi="Calibri" w:cs="Calibri"/>
        <w:color w:val="000000"/>
      </w:rPr>
      <w:tab/>
    </w:r>
    <w:r w:rsidR="008340A5">
      <w:rPr>
        <w:rFonts w:ascii="Calibri" w:eastAsia="Calibri" w:hAnsi="Calibri" w:cs="Calibri"/>
        <w:color w:val="000000"/>
      </w:rPr>
      <w:tab/>
      <w:t xml:space="preserve">Statky ČZU </w:t>
    </w:r>
    <w:r w:rsidR="008C2367">
      <w:rPr>
        <w:rFonts w:ascii="Calibri" w:eastAsia="Calibri" w:hAnsi="Calibri" w:cs="Calibri"/>
        <w:color w:val="000000"/>
      </w:rPr>
      <w:t>5</w:t>
    </w:r>
    <w:r w:rsidR="008340A5">
      <w:rPr>
        <w:rFonts w:ascii="Calibri" w:eastAsia="Calibri" w:hAnsi="Calibri" w:cs="Calibri"/>
        <w:color w:val="000000"/>
      </w:rPr>
      <w:t>/2025</w:t>
    </w:r>
  </w:p>
  <w:p w14:paraId="22A72B09" w14:textId="77777777" w:rsidR="000E2704" w:rsidRDefault="000E2704">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0F47" w14:textId="77777777" w:rsidR="008C2367" w:rsidRDefault="008C23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0C"/>
    <w:multiLevelType w:val="multilevel"/>
    <w:tmpl w:val="6D26CAEE"/>
    <w:lvl w:ilvl="0">
      <w:start w:val="1"/>
      <w:numFmt w:val="decimal"/>
      <w:lvlText w:val="%1."/>
      <w:lvlJc w:val="left"/>
      <w:pPr>
        <w:ind w:left="836" w:hanging="360"/>
      </w:pPr>
      <w:rPr>
        <w:rFonts w:ascii="Arial" w:eastAsia="Arial" w:hAnsi="Arial" w:cs="Arial"/>
        <w:b w:val="0"/>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abstractNum w:abstractNumId="1" w15:restartNumberingAfterBreak="0">
    <w:nsid w:val="131F4C3C"/>
    <w:multiLevelType w:val="multilevel"/>
    <w:tmpl w:val="C60EA11A"/>
    <w:lvl w:ilvl="0">
      <w:start w:val="1"/>
      <w:numFmt w:val="decimal"/>
      <w:lvlText w:val="%1."/>
      <w:lvlJc w:val="left"/>
      <w:pPr>
        <w:ind w:left="836" w:hanging="360"/>
      </w:pPr>
      <w:rPr>
        <w:rFonts w:ascii="Arial" w:eastAsia="Arial" w:hAnsi="Arial" w:cs="Arial"/>
        <w:sz w:val="22"/>
        <w:szCs w:val="22"/>
      </w:rPr>
    </w:lvl>
    <w:lvl w:ilvl="1">
      <w:start w:val="1"/>
      <w:numFmt w:val="lowerLetter"/>
      <w:lvlText w:val="%2."/>
      <w:lvlJc w:val="left"/>
      <w:pPr>
        <w:ind w:left="1556" w:hanging="360"/>
      </w:pPr>
      <w:rPr>
        <w:rFonts w:ascii="Arial" w:eastAsia="Arial" w:hAnsi="Arial" w:cs="Arial"/>
        <w:sz w:val="22"/>
        <w:szCs w:val="22"/>
      </w:rPr>
    </w:lvl>
    <w:lvl w:ilvl="2">
      <w:numFmt w:val="bullet"/>
      <w:lvlText w:val="•"/>
      <w:lvlJc w:val="left"/>
      <w:pPr>
        <w:ind w:left="2436" w:hanging="360"/>
      </w:pPr>
    </w:lvl>
    <w:lvl w:ilvl="3">
      <w:numFmt w:val="bullet"/>
      <w:lvlText w:val="•"/>
      <w:lvlJc w:val="left"/>
      <w:pPr>
        <w:ind w:left="3312" w:hanging="360"/>
      </w:pPr>
    </w:lvl>
    <w:lvl w:ilvl="4">
      <w:numFmt w:val="bullet"/>
      <w:lvlText w:val="•"/>
      <w:lvlJc w:val="left"/>
      <w:pPr>
        <w:ind w:left="4188" w:hanging="360"/>
      </w:pPr>
    </w:lvl>
    <w:lvl w:ilvl="5">
      <w:numFmt w:val="bullet"/>
      <w:lvlText w:val="•"/>
      <w:lvlJc w:val="left"/>
      <w:pPr>
        <w:ind w:left="5065" w:hanging="360"/>
      </w:pPr>
    </w:lvl>
    <w:lvl w:ilvl="6">
      <w:numFmt w:val="bullet"/>
      <w:lvlText w:val="•"/>
      <w:lvlJc w:val="left"/>
      <w:pPr>
        <w:ind w:left="5941" w:hanging="360"/>
      </w:pPr>
    </w:lvl>
    <w:lvl w:ilvl="7">
      <w:numFmt w:val="bullet"/>
      <w:lvlText w:val="•"/>
      <w:lvlJc w:val="left"/>
      <w:pPr>
        <w:ind w:left="6817" w:hanging="360"/>
      </w:pPr>
    </w:lvl>
    <w:lvl w:ilvl="8">
      <w:numFmt w:val="bullet"/>
      <w:lvlText w:val="•"/>
      <w:lvlJc w:val="left"/>
      <w:pPr>
        <w:ind w:left="7693" w:hanging="360"/>
      </w:pPr>
    </w:lvl>
  </w:abstractNum>
  <w:abstractNum w:abstractNumId="2" w15:restartNumberingAfterBreak="0">
    <w:nsid w:val="17F13A9E"/>
    <w:multiLevelType w:val="multilevel"/>
    <w:tmpl w:val="056AF7D2"/>
    <w:lvl w:ilvl="0">
      <w:start w:val="1"/>
      <w:numFmt w:val="decimal"/>
      <w:lvlText w:val="%1."/>
      <w:lvlJc w:val="left"/>
      <w:pPr>
        <w:ind w:left="836" w:hanging="360"/>
      </w:pPr>
      <w:rPr>
        <w:rFonts w:ascii="Arial" w:eastAsia="Arial" w:hAnsi="Arial" w:cs="Arial"/>
        <w:b w:val="0"/>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abstractNum w:abstractNumId="3" w15:restartNumberingAfterBreak="0">
    <w:nsid w:val="28AB75B5"/>
    <w:multiLevelType w:val="multilevel"/>
    <w:tmpl w:val="DEECA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343BD"/>
    <w:multiLevelType w:val="multilevel"/>
    <w:tmpl w:val="F1640B1C"/>
    <w:lvl w:ilvl="0">
      <w:start w:val="1"/>
      <w:numFmt w:val="decimal"/>
      <w:lvlText w:val="%1."/>
      <w:lvlJc w:val="left"/>
      <w:pPr>
        <w:ind w:left="836" w:hanging="360"/>
      </w:pPr>
      <w:rPr>
        <w:rFonts w:ascii="Arial" w:eastAsia="Arial" w:hAnsi="Arial" w:cs="Arial"/>
        <w:b w:val="0"/>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abstractNum w:abstractNumId="5" w15:restartNumberingAfterBreak="0">
    <w:nsid w:val="450222E2"/>
    <w:multiLevelType w:val="multilevel"/>
    <w:tmpl w:val="E5D00A02"/>
    <w:lvl w:ilvl="0">
      <w:start w:val="1"/>
      <w:numFmt w:val="decimal"/>
      <w:lvlText w:val="%1."/>
      <w:lvlJc w:val="left"/>
      <w:pPr>
        <w:ind w:left="836" w:hanging="360"/>
      </w:pPr>
      <w:rPr>
        <w:rFonts w:ascii="Arial" w:eastAsia="Arial" w:hAnsi="Arial" w:cs="Arial"/>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abstractNum w:abstractNumId="6" w15:restartNumberingAfterBreak="0">
    <w:nsid w:val="4E7637D8"/>
    <w:multiLevelType w:val="multilevel"/>
    <w:tmpl w:val="0DB8AD64"/>
    <w:lvl w:ilvl="0">
      <w:start w:val="1"/>
      <w:numFmt w:val="decimal"/>
      <w:lvlText w:val="%1."/>
      <w:lvlJc w:val="left"/>
      <w:pPr>
        <w:ind w:left="836" w:hanging="360"/>
      </w:pPr>
      <w:rPr>
        <w:rFonts w:ascii="Arial" w:eastAsia="Arial" w:hAnsi="Arial" w:cs="Arial"/>
        <w:b w:val="0"/>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abstractNum w:abstractNumId="7" w15:restartNumberingAfterBreak="0">
    <w:nsid w:val="657923CC"/>
    <w:multiLevelType w:val="multilevel"/>
    <w:tmpl w:val="F528842A"/>
    <w:lvl w:ilvl="0">
      <w:start w:val="1"/>
      <w:numFmt w:val="decimal"/>
      <w:lvlText w:val="%1."/>
      <w:lvlJc w:val="left"/>
      <w:pPr>
        <w:ind w:left="836" w:hanging="360"/>
      </w:pPr>
      <w:rPr>
        <w:rFonts w:ascii="Arial" w:eastAsia="Arial" w:hAnsi="Arial" w:cs="Arial"/>
        <w:b w:val="0"/>
        <w:sz w:val="22"/>
        <w:szCs w:val="22"/>
      </w:rPr>
    </w:lvl>
    <w:lvl w:ilvl="1">
      <w:numFmt w:val="bullet"/>
      <w:lvlText w:val="•"/>
      <w:lvlJc w:val="left"/>
      <w:pPr>
        <w:ind w:left="1700" w:hanging="360"/>
      </w:pPr>
    </w:lvl>
    <w:lvl w:ilvl="2">
      <w:numFmt w:val="bullet"/>
      <w:lvlText w:val="•"/>
      <w:lvlJc w:val="left"/>
      <w:pPr>
        <w:ind w:left="2561" w:hanging="360"/>
      </w:pPr>
    </w:lvl>
    <w:lvl w:ilvl="3">
      <w:numFmt w:val="bullet"/>
      <w:lvlText w:val="•"/>
      <w:lvlJc w:val="left"/>
      <w:pPr>
        <w:ind w:left="3421" w:hanging="360"/>
      </w:pPr>
    </w:lvl>
    <w:lvl w:ilvl="4">
      <w:numFmt w:val="bullet"/>
      <w:lvlText w:val="•"/>
      <w:lvlJc w:val="left"/>
      <w:pPr>
        <w:ind w:left="4282" w:hanging="360"/>
      </w:pPr>
    </w:lvl>
    <w:lvl w:ilvl="5">
      <w:numFmt w:val="bullet"/>
      <w:lvlText w:val="•"/>
      <w:lvlJc w:val="left"/>
      <w:pPr>
        <w:ind w:left="5143" w:hanging="360"/>
      </w:pPr>
    </w:lvl>
    <w:lvl w:ilvl="6">
      <w:numFmt w:val="bullet"/>
      <w:lvlText w:val="•"/>
      <w:lvlJc w:val="left"/>
      <w:pPr>
        <w:ind w:left="6003" w:hanging="360"/>
      </w:pPr>
    </w:lvl>
    <w:lvl w:ilvl="7">
      <w:numFmt w:val="bullet"/>
      <w:lvlText w:val="•"/>
      <w:lvlJc w:val="left"/>
      <w:pPr>
        <w:ind w:left="6864" w:hanging="360"/>
      </w:pPr>
    </w:lvl>
    <w:lvl w:ilvl="8">
      <w:numFmt w:val="bullet"/>
      <w:lvlText w:val="•"/>
      <w:lvlJc w:val="left"/>
      <w:pPr>
        <w:ind w:left="7725" w:hanging="360"/>
      </w:pPr>
    </w:lvl>
  </w:abstractNum>
  <w:num w:numId="1" w16cid:durableId="1687436902">
    <w:abstractNumId w:val="0"/>
  </w:num>
  <w:num w:numId="2" w16cid:durableId="945961408">
    <w:abstractNumId w:val="6"/>
  </w:num>
  <w:num w:numId="3" w16cid:durableId="1411587190">
    <w:abstractNumId w:val="4"/>
  </w:num>
  <w:num w:numId="4" w16cid:durableId="637881091">
    <w:abstractNumId w:val="7"/>
  </w:num>
  <w:num w:numId="5" w16cid:durableId="1026365739">
    <w:abstractNumId w:val="3"/>
  </w:num>
  <w:num w:numId="6" w16cid:durableId="1183739096">
    <w:abstractNumId w:val="2"/>
  </w:num>
  <w:num w:numId="7" w16cid:durableId="381947931">
    <w:abstractNumId w:val="5"/>
  </w:num>
  <w:num w:numId="8" w16cid:durableId="125621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4"/>
    <w:rsid w:val="000E2704"/>
    <w:rsid w:val="001B7732"/>
    <w:rsid w:val="004624FA"/>
    <w:rsid w:val="004D6FBC"/>
    <w:rsid w:val="004F34C4"/>
    <w:rsid w:val="00504E1B"/>
    <w:rsid w:val="00587C82"/>
    <w:rsid w:val="00637679"/>
    <w:rsid w:val="006A4178"/>
    <w:rsid w:val="008340A5"/>
    <w:rsid w:val="008C2367"/>
    <w:rsid w:val="00A3502F"/>
    <w:rsid w:val="00B22160"/>
    <w:rsid w:val="00B50325"/>
    <w:rsid w:val="00CD2A27"/>
    <w:rsid w:val="00CD5E5E"/>
    <w:rsid w:val="00D226D4"/>
    <w:rsid w:val="00DA7EC7"/>
    <w:rsid w:val="00DC2631"/>
    <w:rsid w:val="00EC0370"/>
    <w:rsid w:val="00F06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A060"/>
  <w15:docId w15:val="{8B3524BB-0CE1-473A-90EE-75B5A7C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rsid w:val="00864AF5"/>
    <w:pPr>
      <w:keepNext/>
      <w:spacing w:before="240"/>
      <w:ind w:left="125" w:right="125"/>
      <w:jc w:val="center"/>
      <w:outlineLvl w:val="0"/>
    </w:pPr>
    <w:rPr>
      <w:sz w:val="32"/>
      <w:szCs w:val="32"/>
    </w:rPr>
  </w:style>
  <w:style w:type="paragraph" w:styleId="Nadpis2">
    <w:name w:val="heading 2"/>
    <w:basedOn w:val="Normln"/>
    <w:uiPriority w:val="9"/>
    <w:unhideWhenUsed/>
    <w:qFormat/>
    <w:rsid w:val="0028204B"/>
    <w:pPr>
      <w:keepNext/>
      <w:spacing w:before="70"/>
      <w:ind w:left="125" w:right="125"/>
      <w:jc w:val="center"/>
      <w:outlineLvl w:val="1"/>
    </w:pPr>
    <w:rPr>
      <w:sz w:val="24"/>
      <w:szCs w:val="24"/>
    </w:rPr>
  </w:style>
  <w:style w:type="paragraph" w:styleId="Nadpis3">
    <w:name w:val="heading 3"/>
    <w:basedOn w:val="Normln"/>
    <w:next w:val="Normln"/>
    <w:link w:val="Nadpis3Char"/>
    <w:uiPriority w:val="9"/>
    <w:semiHidden/>
    <w:unhideWhenUsed/>
    <w:qFormat/>
    <w:rsid w:val="002820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spacing w:before="81"/>
      <w:ind w:left="126" w:right="125"/>
      <w:jc w:val="center"/>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36" w:hanging="360"/>
      <w:jc w:val="both"/>
    </w:pPr>
  </w:style>
  <w:style w:type="paragraph" w:styleId="Odstavecseseznamem">
    <w:name w:val="List Paragraph"/>
    <w:basedOn w:val="Normln"/>
    <w:uiPriority w:val="34"/>
    <w:qFormat/>
    <w:rsid w:val="00864AF5"/>
    <w:pPr>
      <w:keepLines/>
      <w:suppressAutoHyphens/>
      <w:spacing w:before="119"/>
      <w:ind w:left="833" w:right="108" w:hanging="357"/>
    </w:pPr>
  </w:style>
  <w:style w:type="paragraph" w:customStyle="1" w:styleId="TableParagraph">
    <w:name w:val="Table Paragraph"/>
    <w:basedOn w:val="Normln"/>
    <w:uiPriority w:val="1"/>
    <w:qFormat/>
    <w:pPr>
      <w:spacing w:line="255" w:lineRule="exact"/>
      <w:ind w:left="110"/>
    </w:pPr>
  </w:style>
  <w:style w:type="paragraph" w:styleId="Zhlav">
    <w:name w:val="header"/>
    <w:basedOn w:val="Normln"/>
    <w:link w:val="ZhlavChar"/>
    <w:uiPriority w:val="99"/>
    <w:unhideWhenUsed/>
    <w:rsid w:val="007C176D"/>
    <w:pPr>
      <w:tabs>
        <w:tab w:val="center" w:pos="4536"/>
        <w:tab w:val="right" w:pos="9072"/>
      </w:tabs>
    </w:pPr>
  </w:style>
  <w:style w:type="character" w:customStyle="1" w:styleId="ZhlavChar">
    <w:name w:val="Záhlaví Char"/>
    <w:basedOn w:val="Standardnpsmoodstavce"/>
    <w:link w:val="Zhlav"/>
    <w:uiPriority w:val="99"/>
    <w:rsid w:val="007C176D"/>
    <w:rPr>
      <w:rFonts w:ascii="Arial" w:eastAsia="Arial" w:hAnsi="Arial" w:cs="Arial"/>
      <w:lang w:val="cs-CZ"/>
    </w:rPr>
  </w:style>
  <w:style w:type="paragraph" w:styleId="Zpat">
    <w:name w:val="footer"/>
    <w:basedOn w:val="Normln"/>
    <w:link w:val="ZpatChar"/>
    <w:uiPriority w:val="99"/>
    <w:unhideWhenUsed/>
    <w:rsid w:val="007C176D"/>
    <w:pPr>
      <w:tabs>
        <w:tab w:val="center" w:pos="4536"/>
        <w:tab w:val="right" w:pos="9072"/>
      </w:tabs>
    </w:pPr>
  </w:style>
  <w:style w:type="character" w:customStyle="1" w:styleId="ZpatChar">
    <w:name w:val="Zápatí Char"/>
    <w:basedOn w:val="Standardnpsmoodstavce"/>
    <w:link w:val="Zpat"/>
    <w:uiPriority w:val="99"/>
    <w:rsid w:val="007C176D"/>
    <w:rPr>
      <w:rFonts w:ascii="Arial" w:eastAsia="Arial" w:hAnsi="Arial" w:cs="Arial"/>
      <w:lang w:val="cs-CZ"/>
    </w:rPr>
  </w:style>
  <w:style w:type="character" w:customStyle="1" w:styleId="Nadpis3Char">
    <w:name w:val="Nadpis 3 Char"/>
    <w:basedOn w:val="Standardnpsmoodstavce"/>
    <w:link w:val="Nadpis3"/>
    <w:uiPriority w:val="9"/>
    <w:semiHidden/>
    <w:rsid w:val="0028204B"/>
    <w:rPr>
      <w:rFonts w:asciiTheme="majorHAnsi" w:eastAsiaTheme="majorEastAsia" w:hAnsiTheme="majorHAnsi" w:cstheme="majorBidi"/>
      <w:color w:val="243F60" w:themeColor="accent1" w:themeShade="7F"/>
      <w:sz w:val="24"/>
      <w:szCs w:val="24"/>
      <w:lang w:val="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character" w:styleId="Hypertextovodkaz">
    <w:name w:val="Hyperlink"/>
    <w:basedOn w:val="Standardnpsmoodstavce"/>
    <w:uiPriority w:val="99"/>
    <w:semiHidden/>
    <w:unhideWhenUsed/>
    <w:rsid w:val="00BD527B"/>
    <w:rPr>
      <w:color w:val="0000FF"/>
      <w:u w:val="single"/>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kas.drmota@emai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t+58D9/tB3N6o7FuPcCo2OHEA==">CgMxLjAyCGguZ2pkZ3hzMgloLjMwajB6bGw4AHIhMWVGMjZSb0t6amR4YzFXY2UwLXI5WkM2SWVuZzl6ZEUw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2194</Words>
  <Characters>12949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Wernerová</dc:creator>
  <cp:lastModifiedBy>Javůrková Michaela</cp:lastModifiedBy>
  <cp:revision>5</cp:revision>
  <dcterms:created xsi:type="dcterms:W3CDTF">2025-01-24T07:06:00Z</dcterms:created>
  <dcterms:modified xsi:type="dcterms:W3CDTF">2025-01-24T14:09:00Z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2022-01-21T00:00:00Z</vt:lpwstr>
  </property>
  <property fmtid="{D5CDD505-2E9C-101B-9397-08002B2CF9AE}" pid="3" name="Creator">
    <vt:lpwstr>Microsoft® Word pro Microsoft 365</vt:lpwstr>
  </property>
  <property fmtid="{D5CDD505-2E9C-101B-9397-08002B2CF9AE}" pid="4" name="LastSaved">
    <vt:lpwstr>2022-06-01T00:00:00Z</vt:lpwstr>
  </property>
</Properties>
</file>