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11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0" w:name="bookmark0"/>
      <w:r>
        <w:rPr>
          <w:rStyle w:val="CharStyle12"/>
          <w:b/>
          <w:bCs/>
        </w:rPr>
        <w:t>SMLOUVA O NÁJMU NEBYTOVÝCH PROSTOR</w:t>
      </w:r>
      <w:bookmarkEnd w:id="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center"/>
        <w:rPr>
          <w:sz w:val="20"/>
          <w:szCs w:val="20"/>
        </w:rPr>
      </w:pPr>
      <w:r>
        <w:rPr>
          <w:rStyle w:val="CharStyle5"/>
          <w:color w:val="68667A"/>
          <w:sz w:val="20"/>
          <w:szCs w:val="20"/>
        </w:rPr>
        <w:t>uzavřená dle ustanoveni § 2201 a násl. a ustanovení § 2302 a násl. zákona č. 89/2012 Sb.,</w:t>
        <w:br/>
        <w:t>občanský zákoník, ve znění pozdějších předpisů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" w:name="bookmark2"/>
      <w:r>
        <w:rPr>
          <w:rStyle w:val="CharStyle15"/>
          <w:b/>
          <w:bCs/>
          <w:color w:val="000000"/>
        </w:rPr>
        <w:t>Smluvní strany</w:t>
      </w:r>
      <w:bookmarkEnd w:id="2"/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5"/>
          <w:b/>
          <w:bCs/>
        </w:rPr>
        <w:t>Zdravotnická záchranná služba Jihomoravského kraje, příspěvková organizace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Style w:val="CharStyle5"/>
          <w:color w:val="68667A"/>
          <w:sz w:val="20"/>
          <w:szCs w:val="20"/>
        </w:rPr>
        <w:t>Sídlo. Kamenice 798/1d, Brno 62500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Style w:val="CharStyle5"/>
          <w:color w:val="68667A"/>
          <w:sz w:val="20"/>
          <w:szCs w:val="20"/>
        </w:rPr>
        <w:t>Zastoupena: MUDr. Hanou Albrechtovou, ředitelkou IČ: 00346292, DIČ: CZ00346292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  <w:rPr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5731510</wp:posOffset>
                </wp:positionH>
                <wp:positionV relativeFrom="paragraph">
                  <wp:posOffset>76200</wp:posOffset>
                </wp:positionV>
                <wp:extent cx="570230" cy="125095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125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2024001908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51.30000000000001pt;margin-top:6.pt;width:44.899999999999999pt;height:9.8499999999999996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2024001908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5"/>
          <w:color w:val="68667A"/>
          <w:sz w:val="20"/>
          <w:szCs w:val="20"/>
        </w:rPr>
        <w:t xml:space="preserve">Bankovní spojení: MONETA Money Bank, a. s., č. ú.: 117203514/0600 (dále jen </w:t>
      </w:r>
      <w:r>
        <w:rPr>
          <w:rStyle w:val="CharStyle5"/>
          <w:b/>
          <w:bCs/>
          <w:color w:val="68667A"/>
          <w:sz w:val="20"/>
          <w:szCs w:val="20"/>
        </w:rPr>
        <w:t>„pronajímatel“)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" w:name="bookmark5"/>
      <w:r>
        <w:rPr>
          <w:rStyle w:val="CharStyle15"/>
          <w:b/>
          <w:bCs/>
        </w:rPr>
        <w:t>Inambula s. r. o.</w:t>
      </w:r>
      <w:bookmarkEnd w:id="5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Style w:val="CharStyle5"/>
          <w:color w:val="68667A"/>
          <w:sz w:val="20"/>
          <w:szCs w:val="20"/>
        </w:rPr>
        <w:t>Sídlo: Střední 624/36a, Brno 61200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Style w:val="CharStyle5"/>
          <w:color w:val="68667A"/>
          <w:sz w:val="20"/>
          <w:szCs w:val="20"/>
        </w:rPr>
        <w:t>Zastoupena: MUDr. Petrou Vodákovou, jednatelkou IČ: 21107602. DIČ: CZ21107602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  <w:rPr>
          <w:sz w:val="20"/>
          <w:szCs w:val="20"/>
        </w:rPr>
      </w:pPr>
      <w:r>
        <w:rPr>
          <w:rStyle w:val="CharStyle5"/>
          <w:color w:val="68667A"/>
          <w:sz w:val="20"/>
          <w:szCs w:val="20"/>
        </w:rPr>
        <w:t xml:space="preserve">(dále jen „nájemce“) </w:t>
      </w:r>
      <w:r>
        <w:rPr>
          <w:rStyle w:val="CharStyle5"/>
          <w:color w:val="68667A"/>
          <w:sz w:val="20"/>
          <w:szCs w:val="20"/>
        </w:rPr>
        <w:t xml:space="preserve">uzavřely níže uvedeného dne, měsíce a roku tuto smlouvu, která se řídí zákonem č. 89/2012 Sb.. občanský zákoník (dále jen </w:t>
      </w:r>
      <w:r>
        <w:rPr>
          <w:rStyle w:val="CharStyle5"/>
          <w:b/>
          <w:bCs/>
          <w:color w:val="68667A"/>
          <w:sz w:val="20"/>
          <w:szCs w:val="20"/>
        </w:rPr>
        <w:t>„občanský zákoník“).</w:t>
      </w:r>
    </w:p>
    <w:p>
      <w:pPr>
        <w:pStyle w:val="Style14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7" w:name="bookmark7"/>
      <w:bookmarkEnd w:id="7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40"/>
        <w:jc w:val="both"/>
        <w:rPr>
          <w:sz w:val="20"/>
          <w:szCs w:val="20"/>
        </w:rPr>
      </w:pPr>
      <w:r>
        <w:rPr>
          <w:rStyle w:val="CharStyle5"/>
          <w:color w:val="68667A"/>
          <w:sz w:val="20"/>
          <w:szCs w:val="20"/>
        </w:rPr>
        <w:t>Pronajímatel je oprávněn nakládat na základě práva hospodaření se svěřeným majetkem kraje: budova č. p. 2342 postavená na pozemku stavební parcele dle KN č. st. 3791, druh pozemku zastavěná plocha a nádvoří, zapsanou na LV č. 4401 pro obec, část obce a katastrální území Blansko u Katastrálního úřadu pro Jihomoravský kraj, Katastrální pracoviště Blansko.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/>
        <w:jc w:val="both"/>
        <w:rPr>
          <w:sz w:val="20"/>
          <w:szCs w:val="20"/>
        </w:rPr>
      </w:pPr>
      <w:r>
        <w:rPr>
          <w:rStyle w:val="CharStyle5"/>
          <w:color w:val="68667A"/>
          <w:sz w:val="20"/>
          <w:szCs w:val="20"/>
        </w:rPr>
        <w:t>Na prvním nadzemním podlaží této nemovitosti je umístěn mimo jiné soubor nebytových prostor - místností o celkové výměře 101,50 m</w:t>
      </w:r>
      <w:r>
        <w:rPr>
          <w:rStyle w:val="CharStyle5"/>
          <w:color w:val="68667A"/>
          <w:sz w:val="20"/>
          <w:szCs w:val="20"/>
          <w:vertAlign w:val="superscript"/>
        </w:rPr>
        <w:t>2</w:t>
      </w:r>
      <w:r>
        <w:rPr>
          <w:rStyle w:val="CharStyle5"/>
          <w:color w:val="68667A"/>
          <w:sz w:val="20"/>
          <w:szCs w:val="20"/>
        </w:rPr>
        <w:t>, jejichž bližší specifikace je uvedena v příloze č. 1, která je nedílnou součásti této smlouvy. Tento soubor místností je určen k jiným než bytovým účelům.</w:t>
      </w:r>
    </w:p>
    <w:p>
      <w:pPr>
        <w:pStyle w:val="Style14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4240" w:right="0" w:firstLine="0"/>
        <w:jc w:val="left"/>
      </w:pPr>
      <w:bookmarkStart w:id="9" w:name="bookmark9"/>
      <w:bookmarkEnd w:id="9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340"/>
        <w:jc w:val="both"/>
        <w:rPr>
          <w:sz w:val="20"/>
          <w:szCs w:val="20"/>
        </w:rPr>
      </w:pPr>
      <w:r>
        <w:rPr>
          <w:rStyle w:val="CharStyle5"/>
          <w:color w:val="68667A"/>
          <w:sz w:val="20"/>
          <w:szCs w:val="20"/>
        </w:rPr>
        <w:t>V nebytových prostorách podle č. II. této smlouvy je dále umístěn soubor movitých věci, které tvoří jejich vnitřní vybavení a zařízení. Bližší specifikace těchto movitých věcí je uvedena v příloze č. 2, která je nedílnou součástí této smlouvy.</w:t>
      </w:r>
    </w:p>
    <w:p>
      <w:pPr>
        <w:pStyle w:val="Style14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1" w:name="bookmark11"/>
      <w:bookmarkEnd w:id="11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/>
        <w:jc w:val="both"/>
        <w:rPr>
          <w:sz w:val="20"/>
          <w:szCs w:val="20"/>
        </w:rPr>
      </w:pPr>
      <w:r>
        <w:rPr>
          <w:rStyle w:val="CharStyle5"/>
          <w:color w:val="68667A"/>
          <w:sz w:val="20"/>
          <w:szCs w:val="20"/>
        </w:rPr>
        <w:t>Pronajímatel se zavazuje, že nebytové prostory podle čl. II. této smlouvy a movité věci podle čl. III. této smlouvy přenechá nájemci k jeho výhradnímu užívání pro jeho účely, a to každý čtvrtek od 7:00 hodin do 15:30 hodin. Pronajímatel se současně zavazuje, že bude nájemci poskytovat služby s užíváním těchto prostor spojené, a to nepřetržitě po celou dobu nájmu podle této smlouvy, nedohodnou-li se obě strany v jednotlivém případě později jinak. Službami se pro účely této smlouvy rozumí dodávka elektrické energie, tepla, vody a sběr odpadních vod, odvoz odpadu, ostraha, osvětleni společných prostor a úklid najatých nebytových a společných prostor.</w:t>
      </w:r>
    </w:p>
    <w:p>
      <w:pPr>
        <w:pStyle w:val="Style14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3" w:name="bookmark13"/>
      <w:bookmarkEnd w:id="13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340"/>
        <w:jc w:val="both"/>
        <w:rPr>
          <w:sz w:val="20"/>
          <w:szCs w:val="20"/>
        </w:rPr>
      </w:pPr>
      <w:r>
        <w:rPr>
          <w:rStyle w:val="CharStyle5"/>
          <w:color w:val="68667A"/>
          <w:sz w:val="20"/>
          <w:szCs w:val="20"/>
        </w:rPr>
        <w:t>Nájemce se zavazuje užívat najaté nebytové prostory podle čl. II. této smlouvy výhradně k provozování svého nestátního zdravotnického zařízení, a k činnostem s tím spojeným.</w:t>
      </w:r>
    </w:p>
    <w:p>
      <w:pPr>
        <w:pStyle w:val="Style14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5" w:name="bookmark15"/>
      <w:bookmarkEnd w:id="15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40"/>
        <w:jc w:val="left"/>
        <w:rPr>
          <w:sz w:val="20"/>
          <w:szCs w:val="20"/>
        </w:rPr>
      </w:pPr>
      <w:r>
        <w:rPr>
          <w:rStyle w:val="CharStyle5"/>
          <w:color w:val="68667A"/>
          <w:sz w:val="20"/>
          <w:szCs w:val="20"/>
        </w:rPr>
        <w:t>Nájemce se zavazuje nepřenechávat najaté nebytové prostory podle čl. II. této smlouvy bez předchozího písemného souhlasu pronajímatele k užívání jiným osobám.</w:t>
      </w:r>
    </w:p>
    <w:p>
      <w:pPr>
        <w:pStyle w:val="Style14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 w:line="257" w:lineRule="auto"/>
        <w:ind w:left="0" w:right="0" w:firstLine="0"/>
        <w:jc w:val="center"/>
      </w:pPr>
      <w:bookmarkStart w:id="17" w:name="bookmark17"/>
      <w:bookmarkEnd w:id="17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69" w:lineRule="auto"/>
        <w:ind w:left="0" w:right="0" w:firstLine="460"/>
        <w:jc w:val="both"/>
        <w:rPr>
          <w:sz w:val="20"/>
          <w:szCs w:val="20"/>
        </w:rPr>
      </w:pPr>
      <w:r>
        <w:rPr>
          <w:rStyle w:val="CharStyle5"/>
        </w:rPr>
        <w:t xml:space="preserve">Nájemce se zavazuje za užívání nebytových prostor podle čl. 11. této smlouvy platit pronajímateli nájemné ve výši </w:t>
      </w:r>
      <w:r>
        <w:rPr>
          <w:rStyle w:val="CharStyle5"/>
          <w:b/>
          <w:bCs/>
          <w:sz w:val="20"/>
          <w:szCs w:val="20"/>
        </w:rPr>
        <w:t>16.116,- Kč ročně.</w:t>
      </w:r>
    </w:p>
    <w:p>
      <w:pPr>
        <w:pStyle w:val="Style14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9" w:name="bookmark19"/>
      <w:bookmarkEnd w:id="19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59" w:lineRule="auto"/>
        <w:ind w:left="0" w:right="0" w:firstLine="460"/>
        <w:jc w:val="both"/>
      </w:pPr>
      <w:r>
        <w:rPr>
          <w:rStyle w:val="CharStyle5"/>
        </w:rPr>
        <w:t>Nájemce se zavazuje platit pronajímateli za užívání movitých věcí podle či. lil. této smlouvy nájemné ve výši 7.290,- Kč ročně.</w:t>
      </w:r>
    </w:p>
    <w:p>
      <w:pPr>
        <w:pStyle w:val="Style14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1" w:name="bookmark21"/>
      <w:bookmarkEnd w:id="21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0" w:right="0" w:firstLine="460"/>
        <w:jc w:val="both"/>
      </w:pPr>
      <w:r>
        <w:rPr>
          <w:rStyle w:val="CharStyle5"/>
        </w:rPr>
        <w:t>Nájemce se zavazuje platit pronajímateli za služby podle či. IV. této smlouvy úhradu ve výši nákladů pronajímatelem na tyto služby vynaložených. Nebude-li možno tyto náklady odečítat přímo ze zvláštních měřících zařízení, stanoví se tyto náklady podle vzájemného poměru ploch, užívaných v domě podle čl. II. této smlouvy nájemcem a ostatními uživateli tohoto domu.</w:t>
      </w:r>
    </w:p>
    <w:p>
      <w:pPr>
        <w:pStyle w:val="Style14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3" w:name="bookmark23"/>
      <w:bookmarkEnd w:id="23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0" w:right="0" w:firstLine="460"/>
        <w:jc w:val="both"/>
      </w:pPr>
      <w:r>
        <w:rPr>
          <w:rStyle w:val="CharStyle5"/>
        </w:rPr>
        <w:t>V závislosti na znehodnocování měny, v níž je sjednáno nájemné podle čl. VIL a či. Vlil, a úhrada podle čl. IX. této smlouvy, je pronajímatel oprávněn zvyšovat nájemné a úhradu svým jednostranným opatřením, a to vždy nejpozději k 1. 4. každého kalendářního roku pro celý následující rok a o částku, odpovídající celkovému indexu inflace, jak bude vyhlašován příslušným orgánem státní správy. Nájemce se zavazuje respektovat toto opatření pronajímatele jako součást této smlouvy.</w:t>
      </w:r>
    </w:p>
    <w:p>
      <w:pPr>
        <w:pStyle w:val="Style14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5" w:name="bookmark25"/>
      <w:bookmarkEnd w:id="25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0" w:right="0" w:firstLine="460"/>
        <w:jc w:val="both"/>
      </w:pPr>
      <w:r>
        <w:rPr>
          <w:rStyle w:val="CharStyle5"/>
        </w:rPr>
        <w:t>Nájemné podle čl. Vil. a čl. Vlil, této smlouvy je splatné na účet pronajímatele u MONETA Money Bank, a. s., číslo 117203514 / 0600 formou pravidelných měsíčních splátek ve výší jedné dvanáctiny ročního plnění do 15-tého dne příslušného měsíce, a to na základě příslušného daňového dokladu pronajímatele.</w:t>
      </w:r>
    </w:p>
    <w:p>
      <w:pPr>
        <w:pStyle w:val="Style14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7" w:name="bookmark27"/>
      <w:bookmarkEnd w:id="27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57" w:lineRule="auto"/>
        <w:ind w:left="0" w:right="0" w:firstLine="460"/>
        <w:jc w:val="both"/>
      </w:pPr>
      <w:r>
        <w:rPr>
          <w:rStyle w:val="CharStyle5"/>
        </w:rPr>
        <w:t>Úhrada za služby podle či, IV. této smlouvy Je splatná na účet pronajímatele podle čl. XI. této smlouvy formou pravidelných měsíčních záloh ve výši 1.500,-Kč a ve Lhůtě zároveň, s nájemným, a formou ročního vyúčtování po skončení příslušného kalendářního roku ve Ihůtě 10-ti dnů od předložení Jeho písemného vyhotovení (faktury).</w:t>
      </w:r>
    </w:p>
    <w:p>
      <w:pPr>
        <w:pStyle w:val="Style14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9" w:name="bookmark29"/>
      <w:bookmarkEnd w:id="29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59" w:lineRule="auto"/>
        <w:ind w:left="0" w:right="0" w:firstLine="460"/>
        <w:jc w:val="both"/>
      </w:pPr>
      <w:r>
        <w:rPr>
          <w:rStyle w:val="CharStyle5"/>
        </w:rPr>
        <w:t>Pro případ prodlení se zaplacením nájemného a úhrady za služby ve lhůtách podle čl. XI. a čl. Xll. této smlouvy se nájemce zavazuje platit pronajímateli smluvní pokutu ve výši 0,1 % z dlužné částky za každý započatý den prodlení. Tím není dotčeno právo pronajímatele na náhradu škodv v.plné výši.</w:t>
      </w:r>
    </w:p>
    <w:p>
      <w:pPr>
        <w:pStyle w:val="Style14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31" w:name="bookmark31"/>
      <w:bookmarkEnd w:id="31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0" w:right="0" w:firstLine="460"/>
        <w:jc w:val="both"/>
      </w:pPr>
      <w:r>
        <w:rPr>
          <w:rStyle w:val="CharStyle5"/>
        </w:rPr>
        <w:t>Nájemce se zavazuje s najatými prostorami podle ČL II. této smlouvy a movitými věcmi podle ČL lil. této smlouvy nakládat šetrně a přiměřeně jejích účelu a stavebnímu určení a chránit je před poškozením, zneužitím nebo zničením.</w:t>
      </w:r>
    </w:p>
    <w:p>
      <w:pPr>
        <w:pStyle w:val="Style14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33" w:name="bookmark33"/>
      <w:bookmarkEnd w:id="33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59" w:lineRule="auto"/>
        <w:ind w:left="0" w:right="0" w:firstLine="460"/>
        <w:jc w:val="both"/>
      </w:pPr>
      <w:r>
        <w:rPr>
          <w:rStyle w:val="CharStyle5"/>
        </w:rPr>
        <w:t>Nebude-li v jednotlivém případě dohodnuto jinak, je nájemce oprávněn provádět stavební a jiné obdobné úpravy najatých nebytových prostor pouze po předchozím písemném souhlasu pronajímatele a na svoje vlastní nákiády.</w:t>
      </w:r>
    </w:p>
    <w:p>
      <w:pPr>
        <w:pStyle w:val="Style14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35" w:name="bookmark35"/>
      <w:bookmarkEnd w:id="35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66" w:lineRule="auto"/>
        <w:ind w:left="0" w:right="0" w:firstLine="460"/>
        <w:jc w:val="both"/>
      </w:pPr>
      <w:r>
        <w:rPr>
          <w:rStyle w:val="CharStyle5"/>
        </w:rPr>
        <w:t>Nájemce se zavazuje na svoje vlastní náklady provádět běžnou údržbu a drobné opravy najatých nebytových prostor. Drobnými opravami se pro účely této smlouvy rozumí opravy, které v Jednotlivém případě nepřevyšují částku 5.000,- Kč.</w:t>
      </w:r>
    </w:p>
    <w:p>
      <w:pPr>
        <w:pStyle w:val="Style14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 w:line="252" w:lineRule="auto"/>
        <w:ind w:left="0" w:right="0" w:firstLine="0"/>
        <w:jc w:val="center"/>
      </w:pPr>
      <w:bookmarkStart w:id="37" w:name="bookmark37"/>
      <w:bookmarkEnd w:id="37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20" w:line="264" w:lineRule="auto"/>
        <w:ind w:left="0" w:right="0" w:firstLine="460"/>
        <w:jc w:val="both"/>
        <w:rPr>
          <w:sz w:val="20"/>
          <w:szCs w:val="20"/>
        </w:rPr>
      </w:pPr>
      <w:r>
        <w:rPr>
          <w:rStyle w:val="CharStyle5"/>
        </w:rPr>
        <w:t>Nájemce prohlašuje, že se seznámil se stavebně technickým stavem najatých nebytových prostor a potvrzuje, že podmínky jejích nájmu, Jak Jsou obsaženy v této smlouvě.</w:t>
        <w:br w:type="page"/>
      </w:r>
      <w:r>
        <w:rPr>
          <w:rStyle w:val="CharStyle5"/>
          <w:sz w:val="20"/>
          <w:szCs w:val="20"/>
        </w:rPr>
        <w:t>s přihlédnutím k tomuto stavu a ke všem případným rizikům z něho vyplývajícím a nemohou být pouze s poukazem na tento stav měněny.</w:t>
      </w:r>
    </w:p>
    <w:p>
      <w:pPr>
        <w:pStyle w:val="Style14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39" w:name="bookmark39"/>
      <w:bookmarkEnd w:id="39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360"/>
        <w:jc w:val="left"/>
        <w:rPr>
          <w:sz w:val="20"/>
          <w:szCs w:val="20"/>
        </w:rPr>
      </w:pPr>
      <w:r>
        <w:rPr>
          <w:rStyle w:val="CharStyle5"/>
          <w:sz w:val="20"/>
          <w:szCs w:val="20"/>
        </w:rPr>
        <w:t>Není-li touto smlouvou ujednáno jinak, řídí se vzájemný právní vztah mezi pronajímatelem a nájemcem příslušnými ustanoveními občanského zákoníku.</w:t>
      </w:r>
    </w:p>
    <w:p>
      <w:pPr>
        <w:pStyle w:val="Style14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4280" w:right="0" w:firstLine="0"/>
        <w:jc w:val="left"/>
      </w:pPr>
      <w:bookmarkStart w:id="41" w:name="bookmark41"/>
      <w:bookmarkEnd w:id="41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340"/>
        <w:jc w:val="left"/>
        <w:rPr>
          <w:sz w:val="20"/>
          <w:szCs w:val="20"/>
        </w:rPr>
      </w:pPr>
      <w:r>
        <w:rPr>
          <w:rStyle w:val="CharStyle5"/>
          <w:sz w:val="20"/>
          <w:szCs w:val="20"/>
        </w:rPr>
        <w:t xml:space="preserve">Tato smlouva se uzavírá na dobu určitou, a to </w:t>
      </w:r>
      <w:r>
        <w:rPr>
          <w:rStyle w:val="CharStyle5"/>
          <w:b/>
          <w:bCs/>
          <w:sz w:val="20"/>
          <w:szCs w:val="20"/>
        </w:rPr>
        <w:t>od 1. 4. 2024 do 31. 3. 2025.</w:t>
      </w:r>
    </w:p>
    <w:p>
      <w:pPr>
        <w:pStyle w:val="Style14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4280" w:right="0" w:firstLine="0"/>
        <w:jc w:val="left"/>
      </w:pPr>
      <w:bookmarkStart w:id="43" w:name="bookmark43"/>
      <w:bookmarkEnd w:id="43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360"/>
        <w:jc w:val="left"/>
        <w:rPr>
          <w:sz w:val="20"/>
          <w:szCs w:val="20"/>
        </w:rPr>
      </w:pPr>
      <w:r>
        <w:rPr>
          <w:rStyle w:val="CharStyle5"/>
          <w:sz w:val="20"/>
          <w:szCs w:val="20"/>
        </w:rPr>
        <w:t>Účinností této smlouvy se ruší předchozí smlouva o nájmu nebytových prostor ze dne 18 8. 2011 ve znění jejích dodatků.</w:t>
      </w:r>
    </w:p>
    <w:p>
      <w:pPr>
        <w:pStyle w:val="Style14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 w:line="252" w:lineRule="auto"/>
        <w:ind w:left="4280" w:right="0" w:firstLine="0"/>
        <w:jc w:val="left"/>
      </w:pPr>
      <w:bookmarkStart w:id="45" w:name="bookmark45"/>
      <w:bookmarkEnd w:id="45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20" w:line="252" w:lineRule="auto"/>
        <w:ind w:left="0" w:right="0" w:firstLine="360"/>
        <w:jc w:val="both"/>
        <w:rPr>
          <w:sz w:val="20"/>
          <w:szCs w:val="20"/>
        </w:rPr>
      </w:pPr>
      <w:r>
        <w:rPr>
          <w:rStyle w:val="CharStyle5"/>
          <w:sz w:val="20"/>
          <w:szCs w:val="20"/>
        </w:rPr>
        <w:t>Tuto smlouvu lze změnit nebo zrušit pouze jinou písemnou dohodou obou smluvních stran. Tuto smlouvu lze také vypovědět písemnou výpovědí s tříměsíční výpovědní lhůtou, která počne běžet prvním dnem měsíce následujícího po doručení výpovědi druhé smluvní straně. Tuto smlouvu lze také vypovědět písemnou výpovědí ze strany pronajimatele pro prodlení nájemce s úhradou nájemného nebo úhradou za služby nebo jejich části ve Ihútách podle čl. XI. a čl. XII. této smlouvy o více než 15 dní s tím, že nájem skončí uplynutím jednoměsíční výpovědní lhůty, která počne běžet prvním dnem následujícím po doručení výpovědí do rukou nájemce.</w:t>
      </w:r>
    </w:p>
    <w:p>
      <w:pPr>
        <w:pStyle w:val="Style14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47" w:name="bookmark47"/>
      <w:bookmarkEnd w:id="47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360"/>
        <w:jc w:val="both"/>
        <w:rPr>
          <w:sz w:val="20"/>
          <w:szCs w:val="20"/>
        </w:rPr>
      </w:pPr>
      <w:r>
        <w:rPr>
          <w:rStyle w:val="CharStyle5"/>
          <w:sz w:val="20"/>
          <w:szCs w:val="20"/>
        </w:rPr>
        <w:t>Tato smlouva se vyhotovuje ve dvou stejnopisech s platností originálu, z nichž každá smluvní strana obdrží po jednom.</w:t>
      </w:r>
    </w:p>
    <w:p>
      <w:pPr>
        <w:pStyle w:val="Style14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49" w:name="bookmark49"/>
      <w:bookmarkEnd w:id="49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60" w:line="240" w:lineRule="auto"/>
        <w:ind w:left="0" w:right="0" w:firstLine="360"/>
        <w:jc w:val="both"/>
        <w:rPr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4466590</wp:posOffset>
                </wp:positionH>
                <wp:positionV relativeFrom="paragraph">
                  <wp:posOffset>1016000</wp:posOffset>
                </wp:positionV>
                <wp:extent cx="1786255" cy="16764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8625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Style5"/>
                                <w:sz w:val="20"/>
                                <w:szCs w:val="20"/>
                              </w:rPr>
                              <w:t>V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51.69999999999999pt;margin-top:80.pt;width:140.65000000000001pt;height:13.20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5"/>
                          <w:sz w:val="20"/>
                          <w:szCs w:val="20"/>
                        </w:rPr>
                        <w:t>V 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527050" distB="0" distL="129540" distR="114300" simplePos="0" relativeHeight="125829382" behindDoc="0" locked="0" layoutInCell="1" allowOverlap="1">
            <wp:simplePos x="0" y="0"/>
            <wp:positionH relativeFrom="page">
              <wp:posOffset>1019175</wp:posOffset>
            </wp:positionH>
            <wp:positionV relativeFrom="paragraph">
              <wp:posOffset>1365250</wp:posOffset>
            </wp:positionV>
            <wp:extent cx="2645410" cy="920750"/>
            <wp:wrapSquare wrapText="bothSides"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645410" cy="9207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1003935</wp:posOffset>
                </wp:positionH>
                <wp:positionV relativeFrom="paragraph">
                  <wp:posOffset>838200</wp:posOffset>
                </wp:positionV>
                <wp:extent cx="2011680" cy="335280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11680" cy="3352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 xml:space="preserve">v </w:t>
                            </w:r>
                            <w:r>
                              <w:rPr>
                                <w:rStyle w:val="CharStyle8"/>
                                <w:color w:val="84B2E8"/>
                                <w:u w:val="single"/>
                              </w:rPr>
                              <w:t>W</w:t>
                            </w:r>
                            <w:r>
                              <w:rPr>
                                <w:rStyle w:val="CharStyle8"/>
                                <w:color w:val="84B2E8"/>
                              </w:rPr>
                              <w:t xml:space="preserve"> </w:t>
                            </w:r>
                            <w:r>
                              <w:rPr>
                                <w:rStyle w:val="CharStyle8"/>
                              </w:rPr>
                              <w:t xml:space="preserve">dne </w:t>
                            </w:r>
                            <w:r>
                              <w:rPr>
                                <w:rStyle w:val="CharStyle8"/>
                                <w:color w:val="84B2E8"/>
                              </w:rPr>
                              <w:t>X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9.049999999999997pt;margin-top:66.pt;width:158.40000000000001pt;height:26.400000000000002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 xml:space="preserve">v </w:t>
                      </w:r>
                      <w:r>
                        <w:rPr>
                          <w:rStyle w:val="CharStyle8"/>
                          <w:color w:val="84B2E8"/>
                          <w:u w:val="single"/>
                        </w:rPr>
                        <w:t>W</w:t>
                      </w:r>
                      <w:r>
                        <w:rPr>
                          <w:rStyle w:val="CharStyle8"/>
                          <w:color w:val="84B2E8"/>
                        </w:rPr>
                        <w:t xml:space="preserve"> </w:t>
                      </w:r>
                      <w:r>
                        <w:rPr>
                          <w:rStyle w:val="CharStyle8"/>
                        </w:rPr>
                        <w:t xml:space="preserve">dne </w:t>
                      </w:r>
                      <w:r>
                        <w:rPr>
                          <w:rStyle w:val="CharStyle8"/>
                          <w:color w:val="84B2E8"/>
                        </w:rPr>
                        <w:t>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CharStyle5"/>
          <w:sz w:val="20"/>
          <w:szCs w:val="20"/>
        </w:rPr>
        <w:t>Účastníci této smlouvy prohlašují, že byla sepsána určitě a srozumitelné podle jejich skutečné, vážné a svobodné vůle. Smlouvu přečetli a s jejím obsahem souhlasí, což stvrzují svými vlastnoručními podpisy.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after="0"/>
        <w:ind w:right="0"/>
        <w:jc w:val="left"/>
      </w:pPr>
      <w:r>
        <w:rPr>
          <w:rStyle w:val="CharStyle20"/>
          <w:spacing w:val="1"/>
          <w:shd w:val="clear" w:color="auto" w:fill="000000"/>
        </w:rPr>
        <w:t>..............</w:t>
      </w:r>
      <w:r>
        <w:rPr>
          <w:rStyle w:val="CharStyle20"/>
          <w:spacing w:val="2"/>
          <w:shd w:val="clear" w:color="auto" w:fill="000000"/>
        </w:rPr>
        <w:t>......</w:t>
      </w:r>
      <w:r>
        <w:rPr>
          <w:rStyle w:val="CharStyle20"/>
          <w:shd w:val="clear" w:color="auto" w:fill="000000"/>
        </w:rPr>
        <w:t>​</w:t>
      </w:r>
      <w:r>
        <w:rPr>
          <w:rStyle w:val="CharStyle20"/>
          <w:spacing w:val="2"/>
          <w:shd w:val="clear" w:color="auto" w:fill="000000"/>
        </w:rPr>
        <w:t>..</w:t>
      </w:r>
      <w:r>
        <w:rPr>
          <w:rStyle w:val="CharStyle20"/>
          <w:spacing w:val="3"/>
          <w:shd w:val="clear" w:color="auto" w:fill="000000"/>
        </w:rPr>
        <w:t>...............</w:t>
      </w:r>
      <w:r>
        <w:rPr>
          <w:rStyle w:val="CharStyle20"/>
        </w:rPr>
        <w:t xml:space="preserve"> </w:t>
      </w:r>
      <w:r>
        <w:rPr>
          <w:rStyle w:val="CharStyle20"/>
          <w:shd w:val="clear" w:color="auto" w:fill="000000"/>
        </w:rPr>
        <w:t>​</w:t>
      </w:r>
      <w:r>
        <w:rPr>
          <w:rStyle w:val="CharStyle20"/>
          <w:spacing w:val="1"/>
          <w:shd w:val="clear" w:color="auto" w:fill="000000"/>
        </w:rPr>
        <w:t>.........</w:t>
      </w:r>
      <w:r>
        <w:rPr>
          <w:rStyle w:val="CharStyle20"/>
          <w:spacing w:val="2"/>
          <w:shd w:val="clear" w:color="auto" w:fill="000000"/>
        </w:rPr>
        <w:t>..</w:t>
      </w:r>
      <w:r>
        <w:rPr>
          <w:rStyle w:val="CharStyle20"/>
          <w:shd w:val="clear" w:color="auto" w:fill="000000"/>
        </w:rPr>
        <w:t>​</w:t>
      </w:r>
      <w:r>
        <w:rPr>
          <w:rStyle w:val="CharStyle20"/>
          <w:spacing w:val="4"/>
          <w:shd w:val="clear" w:color="auto" w:fill="000000"/>
        </w:rPr>
        <w:t>........</w:t>
      </w:r>
      <w:r>
        <w:rPr>
          <w:rStyle w:val="CharStyle20"/>
          <w:spacing w:val="5"/>
          <w:shd w:val="clear" w:color="auto" w:fill="000000"/>
        </w:rPr>
        <w:t>.</w:t>
      </w:r>
      <w:r>
        <w:rPr>
          <w:rStyle w:val="CharStyle20"/>
          <w:shd w:val="clear" w:color="auto" w:fill="000000"/>
        </w:rPr>
        <w:t>​</w:t>
      </w:r>
      <w:r>
        <w:rPr>
          <w:rStyle w:val="CharStyle20"/>
          <w:spacing w:val="3"/>
          <w:shd w:val="clear" w:color="auto" w:fill="000000"/>
        </w:rPr>
        <w:t>..........</w:t>
      </w:r>
      <w:r>
        <w:rPr>
          <w:rStyle w:val="CharStyle20"/>
          <w:spacing w:val="4"/>
          <w:shd w:val="clear" w:color="auto" w:fill="000000"/>
        </w:rPr>
        <w:t>.....</w:t>
      </w:r>
      <w:r>
        <w:rPr>
          <w:rStyle w:val="CharStyle20"/>
        </w:rPr>
        <w:t xml:space="preserve"> </w:t>
      </w:r>
      <w:r>
        <w:rPr>
          <w:rStyle w:val="CharStyle20"/>
          <w:shd w:val="clear" w:color="auto" w:fill="000000"/>
        </w:rPr>
        <w:t>​</w:t>
      </w:r>
      <w:r>
        <w:rPr>
          <w:rStyle w:val="CharStyle20"/>
          <w:spacing w:val="1"/>
          <w:shd w:val="clear" w:color="auto" w:fill="000000"/>
        </w:rPr>
        <w:t>.........</w:t>
      </w:r>
      <w:r>
        <w:rPr>
          <w:rStyle w:val="CharStyle20"/>
          <w:spacing w:val="2"/>
          <w:shd w:val="clear" w:color="auto" w:fill="000000"/>
        </w:rPr>
        <w:t>..</w:t>
      </w:r>
      <w:r>
        <w:rPr>
          <w:rStyle w:val="CharStyle20"/>
          <w:shd w:val="clear" w:color="auto" w:fill="000000"/>
        </w:rPr>
        <w:t>​</w:t>
      </w:r>
      <w:r>
        <w:rPr>
          <w:rStyle w:val="CharStyle20"/>
          <w:spacing w:val="4"/>
          <w:shd w:val="clear" w:color="auto" w:fill="000000"/>
        </w:rPr>
        <w:t>........</w:t>
      </w:r>
      <w:r>
        <w:rPr>
          <w:rStyle w:val="CharStyle20"/>
          <w:spacing w:val="5"/>
          <w:shd w:val="clear" w:color="auto" w:fill="000000"/>
        </w:rPr>
        <w:t>.</w:t>
      </w:r>
      <w:r>
        <w:rPr>
          <w:rStyle w:val="CharStyle20"/>
          <w:shd w:val="clear" w:color="auto" w:fill="000000"/>
        </w:rPr>
        <w:t>​</w:t>
      </w:r>
      <w:r>
        <w:rPr>
          <w:rStyle w:val="CharStyle20"/>
          <w:spacing w:val="3"/>
          <w:shd w:val="clear" w:color="auto" w:fill="000000"/>
        </w:rPr>
        <w:t>..........</w:t>
      </w:r>
      <w:r>
        <w:rPr>
          <w:rStyle w:val="CharStyle20"/>
          <w:spacing w:val="4"/>
          <w:shd w:val="clear" w:color="auto" w:fill="000000"/>
        </w:rPr>
        <w:t>.....</w:t>
      </w:r>
      <w:r>
        <w:rPr>
          <w:rStyle w:val="CharStyle20"/>
        </w:rPr>
        <w:t xml:space="preserve"> </w:t>
      </w:r>
      <w:r>
        <w:rPr>
          <w:rStyle w:val="CharStyle20"/>
          <w:shd w:val="clear" w:color="auto" w:fill="000000"/>
        </w:rPr>
        <w:t>​</w:t>
      </w:r>
      <w:r>
        <w:rPr>
          <w:rStyle w:val="CharStyle20"/>
          <w:spacing w:val="5"/>
          <w:shd w:val="clear" w:color="auto" w:fill="000000"/>
        </w:rPr>
        <w:t>.........</w:t>
      </w:r>
      <w:r>
        <w:rPr>
          <w:rStyle w:val="CharStyle20"/>
          <w:shd w:val="clear" w:color="auto" w:fill="000000"/>
        </w:rPr>
        <w:t>​..................</w:t>
      </w:r>
      <w:r>
        <w:rPr>
          <w:rStyle w:val="CharStyle20"/>
        </w:rPr>
        <w:t xml:space="preserve"> </w:t>
      </w:r>
      <w:r>
        <w:rPr>
          <w:rStyle w:val="CharStyle20"/>
          <w:shd w:val="clear" w:color="auto" w:fill="000000"/>
        </w:rPr>
        <w:t>​</w:t>
      </w:r>
      <w:r>
        <w:rPr>
          <w:rStyle w:val="CharStyle20"/>
          <w:spacing w:val="1"/>
          <w:shd w:val="clear" w:color="auto" w:fill="000000"/>
        </w:rPr>
        <w:t>......</w:t>
      </w:r>
      <w:r>
        <w:rPr>
          <w:rStyle w:val="CharStyle20"/>
          <w:spacing w:val="2"/>
          <w:shd w:val="clear" w:color="auto" w:fill="000000"/>
        </w:rPr>
        <w:t>..........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2080" w:right="0" w:firstLine="0"/>
        <w:jc w:val="left"/>
        <w:rPr>
          <w:sz w:val="20"/>
          <w:szCs w:val="20"/>
        </w:rPr>
      </w:pPr>
      <w:r>
        <w:rPr>
          <w:rStyle w:val="CharStyle20"/>
          <w:sz w:val="20"/>
          <w:szCs w:val="20"/>
        </w:rPr>
        <w:t>nájemce</w:t>
      </w:r>
      <w:r>
        <w:br w:type="page"/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280"/>
        <w:jc w:val="left"/>
        <w:rPr>
          <w:sz w:val="20"/>
          <w:szCs w:val="20"/>
        </w:rPr>
      </w:pPr>
      <w:r>
        <w:rPr>
          <w:rStyle w:val="CharStyle20"/>
          <w:b/>
          <w:bCs/>
          <w:sz w:val="20"/>
          <w:szCs w:val="20"/>
        </w:rPr>
        <w:t>Příloha č. 1 - Soupis místnosti</w:t>
      </w:r>
    </w:p>
    <w:tbl>
      <w:tblPr>
        <w:tblOverlap w:val="never"/>
        <w:jc w:val="center"/>
        <w:tblLayout w:type="fixed"/>
      </w:tblPr>
      <w:tblGrid>
        <w:gridCol w:w="955"/>
        <w:gridCol w:w="1214"/>
        <w:gridCol w:w="2030"/>
        <w:gridCol w:w="1099"/>
      </w:tblGrid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  <w:i/>
                <w:iCs/>
                <w:sz w:val="19"/>
                <w:szCs w:val="19"/>
              </w:rPr>
              <w:t>podlaží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0"/>
                <w:i/>
                <w:iCs/>
                <w:sz w:val="19"/>
                <w:szCs w:val="19"/>
              </w:rPr>
              <w:t>č. míst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Style w:val="CharStyle30"/>
                <w:i/>
                <w:iCs/>
                <w:sz w:val="19"/>
                <w:szCs w:val="19"/>
              </w:rPr>
              <w:t>popis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0"/>
                <w:i/>
                <w:iCs/>
                <w:sz w:val="19"/>
                <w:szCs w:val="19"/>
              </w:rPr>
              <w:t>plocha m</w:t>
            </w:r>
            <w:r>
              <w:rPr>
                <w:rStyle w:val="CharStyle30"/>
                <w:i/>
                <w:iCs/>
                <w:sz w:val="19"/>
                <w:szCs w:val="19"/>
                <w:vertAlign w:val="superscript"/>
              </w:rPr>
              <w:t>2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30"/>
              </w:rPr>
              <w:t>301 010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zádveří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30"/>
              </w:rPr>
              <w:t>3,20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l.n.p.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30"/>
              </w:rPr>
              <w:t>30 1040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čekárna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0"/>
              </w:rPr>
              <w:t>33,50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I.n.p.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30"/>
              </w:rPr>
              <w:t>30 1050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šatna stomatologů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30"/>
              </w:rPr>
              <w:t>4,00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1.n.p.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30"/>
              </w:rPr>
              <w:t>30 1070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ordinace LSPP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30"/>
              </w:rPr>
              <w:t>30,30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I.n.p.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30"/>
              </w:rPr>
              <w:t>301100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předsíňka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30"/>
              </w:rPr>
              <w:t>2,10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I.n.p.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30"/>
              </w:rPr>
              <w:t>301110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denní mfstnost-LSPP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30"/>
              </w:rPr>
              <w:t>12,60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I.n.p.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30"/>
              </w:rPr>
              <w:t>301120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sprcha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30"/>
              </w:rPr>
              <w:t>2,30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I.n.p.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30"/>
              </w:rPr>
              <w:t>301121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WC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30"/>
              </w:rPr>
              <w:t>1,70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I.n.p.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30"/>
              </w:rPr>
              <w:t>301150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WC invalidé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30"/>
              </w:rPr>
              <w:t>3,10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I.n.p.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30"/>
              </w:rPr>
              <w:t>301160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 xml:space="preserve">předsíň WC </w:t>
            </w:r>
            <w:r>
              <w:rPr>
                <w:rStyle w:val="CharStyle30"/>
                <w:i/>
                <w:iCs/>
                <w:sz w:val="19"/>
                <w:szCs w:val="19"/>
              </w:rPr>
              <w:t>Z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600" w:after="0" w:line="149" w:lineRule="auto"/>
              <w:ind w:left="0" w:right="0" w:firstLine="0"/>
              <w:jc w:val="both"/>
            </w:pPr>
            <w:r>
              <w:rPr>
                <w:rStyle w:val="CharStyle30"/>
              </w:rPr>
              <w:t>o o o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I.n.p.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30"/>
              </w:rPr>
              <w:t>30 1170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  <w:i/>
                <w:iCs/>
                <w:sz w:val="19"/>
                <w:szCs w:val="19"/>
              </w:rPr>
              <w:t>WC Z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30"/>
              </w:rPr>
              <w:t>1,30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I.n.p.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30"/>
              </w:rPr>
              <w:t>30 1180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předsíň WC 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30"/>
              </w:rPr>
              <w:t>1,60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I.n.p.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30"/>
              </w:rPr>
              <w:t>30 1190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pisoár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30"/>
              </w:rPr>
              <w:t>1,40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I.n.p.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30"/>
              </w:rPr>
              <w:t>30 1200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WC Muži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rStyle w:val="CharStyle30"/>
              </w:rPr>
              <w:t>1,40</w:t>
            </w: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  <w:b/>
                <w:bCs/>
              </w:rPr>
              <w:t>plocha celkem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0"/>
                <w:b/>
                <w:bCs/>
              </w:rPr>
              <w:t>101,60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1822" w:right="1554" w:bottom="1723" w:left="1600" w:header="1394" w:footer="1295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4" w:right="0" w:firstLine="0"/>
        <w:jc w:val="left"/>
      </w:pPr>
      <w:r>
        <w:rPr>
          <w:rStyle w:val="CharStyle34"/>
          <w:b/>
          <w:bCs/>
        </w:rPr>
        <w:t>Příloha č, 2 - Soupig movitých věcí</w:t>
      </w:r>
    </w:p>
    <w:tbl>
      <w:tblPr>
        <w:tblOverlap w:val="never"/>
        <w:jc w:val="left"/>
        <w:tblLayout w:type="fixed"/>
      </w:tblPr>
      <w:tblGrid>
        <w:gridCol w:w="1109"/>
        <w:gridCol w:w="2419"/>
        <w:gridCol w:w="1205"/>
        <w:gridCol w:w="2851"/>
      </w:tblGrid>
      <w:tr>
        <w:trPr>
          <w:trHeight w:val="264" w:hRule="exact"/>
        </w:trPr>
        <w:tc>
          <w:tcPr>
            <w:vMerge w:val="restart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rStyle w:val="CharStyle30"/>
                <w:i/>
                <w:iCs/>
                <w:sz w:val="19"/>
                <w:szCs w:val="19"/>
              </w:rPr>
              <w:t>místnost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0"/>
                <w:i/>
                <w:iCs/>
                <w:sz w:val="19"/>
                <w:szCs w:val="19"/>
              </w:rPr>
              <w:t>inv.č.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0"/>
                <w:i/>
                <w:iCs/>
                <w:sz w:val="19"/>
                <w:szCs w:val="19"/>
              </w:rPr>
              <w:t>název</w:t>
            </w:r>
          </w:p>
        </w:tc>
      </w:tr>
      <w:tr>
        <w:trPr>
          <w:trHeight w:val="230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301050-šatna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200600649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Skříň šatní 1 dveřová %</w:t>
            </w:r>
          </w:p>
        </w:tc>
      </w:tr>
      <w:tr>
        <w:trPr>
          <w:trHeight w:val="230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301070 - ordinace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200600626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Židle kancelářská pojízdná</w:t>
            </w:r>
          </w:p>
        </w:tc>
      </w:tr>
      <w:tr>
        <w:trPr>
          <w:trHeight w:val="230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301070 - ordinace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200600627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Židle kancelářská pojízdná</w:t>
            </w:r>
          </w:p>
        </w:tc>
      </w:tr>
      <w:tr>
        <w:trPr>
          <w:trHeight w:val="221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301070 - ordinace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200600692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0"/>
              </w:rPr>
              <w:t>Skř.sp.kuch. - dřez</w:t>
            </w:r>
          </w:p>
        </w:tc>
      </w:tr>
      <w:tr>
        <w:trPr>
          <w:trHeight w:val="230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301070 - ordinace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200600684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0"/>
              </w:rPr>
              <w:t>Stěna věšáková</w:t>
            </w:r>
          </w:p>
        </w:tc>
      </w:tr>
      <w:tr>
        <w:trPr>
          <w:trHeight w:val="230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301070 - ordinace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200600687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0"/>
              </w:rPr>
              <w:t>Stůl psací rohový</w:t>
            </w:r>
          </w:p>
        </w:tc>
      </w:tr>
      <w:tr>
        <w:trPr>
          <w:trHeight w:val="226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301070 - ordinace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200600688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0"/>
              </w:rPr>
              <w:t>Stůl psací rohový</w:t>
            </w:r>
          </w:p>
        </w:tc>
      </w:tr>
      <w:tr>
        <w:trPr>
          <w:trHeight w:val="230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301070 - ordinace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200600686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0"/>
              </w:rPr>
              <w:t>Stolek pod psací stroj</w:t>
            </w:r>
          </w:p>
        </w:tc>
      </w:tr>
      <w:tr>
        <w:trPr>
          <w:trHeight w:val="230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301070 - ordinace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200600699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0"/>
              </w:rPr>
              <w:t>Stolička ordinační</w:t>
            </w:r>
          </w:p>
        </w:tc>
      </w:tr>
      <w:tr>
        <w:trPr>
          <w:trHeight w:val="230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301070 - ordinace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200600690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0"/>
              </w:rPr>
              <w:t>Skříň 2dveřová</w:t>
            </w:r>
          </w:p>
        </w:tc>
      </w:tr>
      <w:tr>
        <w:trPr>
          <w:trHeight w:val="226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301070 - ordinace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200601052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0"/>
              </w:rPr>
              <w:t>Kartotéka A4 naležato</w:t>
            </w:r>
          </w:p>
        </w:tc>
      </w:tr>
      <w:tr>
        <w:trPr>
          <w:trHeight w:val="230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301070 - ordinace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200601337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0"/>
              </w:rPr>
              <w:t>Lehátko vyšetřovací</w:t>
            </w:r>
          </w:p>
        </w:tc>
      </w:tr>
      <w:tr>
        <w:trPr>
          <w:trHeight w:val="226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301070 - ordinace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200600814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Zásobník na pap. ručníky</w:t>
            </w:r>
          </w:p>
        </w:tc>
      </w:tr>
      <w:tr>
        <w:trPr>
          <w:trHeight w:val="230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301070 - ordinace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200601042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Židle kancelářská stohovatelná</w:t>
            </w:r>
          </w:p>
        </w:tc>
      </w:tr>
      <w:tr>
        <w:trPr>
          <w:trHeight w:val="259" w:hRule="exact"/>
        </w:trPr>
        <w:tc>
          <w:tcPr>
            <w:gridSpan w:val="4"/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0"/>
                <w:b/>
                <w:bCs/>
                <w:sz w:val="20"/>
                <w:szCs w:val="20"/>
              </w:rPr>
              <w:t>Denní místnost, čekárna, WC:</w:t>
            </w:r>
          </w:p>
        </w:tc>
      </w:tr>
    </w:tbl>
    <w:tbl>
      <w:tblPr>
        <w:tblOverlap w:val="never"/>
        <w:jc w:val="center"/>
        <w:tblLayout w:type="fixed"/>
      </w:tblPr>
      <w:tblGrid>
        <w:gridCol w:w="2438"/>
        <w:gridCol w:w="1205"/>
        <w:gridCol w:w="2851"/>
      </w:tblGrid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301040-čekárna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0"/>
              </w:rPr>
              <w:t>20120020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Kamera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301040 - čekárna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0"/>
              </w:rPr>
              <w:t>200600652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Lavice s horní policí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301040 - čekárna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0"/>
              </w:rPr>
              <w:t>200600651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Stěna věšáková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301110 - denní místnost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0"/>
              </w:rPr>
              <w:t>200600609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Dvojkřeslo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301110 - denní místnost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0"/>
              </w:rPr>
              <w:t>200600610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• Dvojkřeslo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301110 - denní místnost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0"/>
              </w:rPr>
              <w:t>20120021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Chladnička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301110 - denní místnost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0"/>
              </w:rPr>
              <w:t>20120022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Koberec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301110 - denní místnost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0"/>
              </w:rPr>
              <w:t>200601489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Monitor CCTV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301110 - denní místnost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0"/>
              </w:rPr>
              <w:t>200600704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Skříňky spodní kuchyňské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301110 - denní místnost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0"/>
              </w:rPr>
              <w:t>200600705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Skříňky horní k mikr. ’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301110 - denní místnost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0"/>
              </w:rPr>
              <w:t>200600706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Skříňka horní prosklená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301110 - denní místnost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0"/>
              </w:rPr>
              <w:t>200600707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Skříňka horní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301110 - denní místnost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0"/>
              </w:rPr>
              <w:t>200600685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Stěna věšáková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301110 - denní místnost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0"/>
              </w:rPr>
              <w:t>200600709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Stolek konferenční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301110 - denní místnost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0"/>
              </w:rPr>
              <w:t>200600708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Síůi jídeini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301110 - denní místnost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0"/>
              </w:rPr>
              <w:t>200600330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Trouba mikrovlnná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301110 - denní místnost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0"/>
              </w:rPr>
              <w:t>200600711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Židle kancelářská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301110 - denní místnost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0"/>
              </w:rPr>
              <w:t>200600712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Židle kancelářská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301121 - denní místnost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0"/>
              </w:rPr>
              <w:t>200670908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Zásobník toal. papíru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301120-sprcha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0"/>
              </w:rPr>
              <w:t>200600826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Koš nerezový 141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0"/>
              </w:rPr>
              <w:t>301110 - denní místnost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0"/>
              </w:rPr>
              <w:t>200600820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Koš nerezový 51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301150 - WC 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0"/>
              </w:rPr>
              <w:t>200670915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Zásobník toal. papíru bílý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301150-WC 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0"/>
              </w:rPr>
              <w:t>200670911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Zásobník na pap. ručníky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301150-WC 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0"/>
              </w:rPr>
              <w:t>200600834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Zrcadlo s držákem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301170-WC 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0"/>
              </w:rPr>
              <w:t>200670914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Zásobník toal. papíru bílý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301160-WC Ž-předsíň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0"/>
              </w:rPr>
              <w:t>200670910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Zásobník na pap. ručníky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301200 -WC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0"/>
              </w:rPr>
              <w:t>200670913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Zásobník toal. papíru bílý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301180 -WC M- předsíň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0"/>
              </w:rPr>
              <w:t>200670909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0"/>
              </w:rPr>
              <w:t>Zásobník na pap. ručníky</w:t>
            </w: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2527" w:right="1672" w:bottom="2167" w:left="1483" w:header="2099" w:footer="1739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upperRoman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3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">
    <w:name w:val="Základní text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8">
    <w:name w:val="Titulek obrázku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Nadpis #1_"/>
    <w:basedOn w:val="DefaultParagraphFont"/>
    <w:link w:val="Style11"/>
    <w:rPr>
      <w:rFonts w:ascii="Arial" w:eastAsia="Arial" w:hAnsi="Arial" w:cs="Arial"/>
      <w:b/>
      <w:bCs/>
      <w:i w:val="0"/>
      <w:iCs w:val="0"/>
      <w:smallCaps w:val="0"/>
      <w:strike w:val="0"/>
      <w:color w:val="68667A"/>
      <w:u w:val="none"/>
    </w:rPr>
  </w:style>
  <w:style w:type="character" w:customStyle="1" w:styleId="CharStyle15">
    <w:name w:val="Nadpis #2_"/>
    <w:basedOn w:val="DefaultParagraphFont"/>
    <w:link w:val="Style14"/>
    <w:rPr>
      <w:rFonts w:ascii="Arial" w:eastAsia="Arial" w:hAnsi="Arial" w:cs="Arial"/>
      <w:b/>
      <w:bCs/>
      <w:i w:val="0"/>
      <w:iCs w:val="0"/>
      <w:smallCaps w:val="0"/>
      <w:strike w:val="0"/>
      <w:color w:val="68667A"/>
      <w:sz w:val="20"/>
      <w:szCs w:val="20"/>
      <w:u w:val="none"/>
    </w:rPr>
  </w:style>
  <w:style w:type="character" w:customStyle="1" w:styleId="CharStyle20">
    <w:name w:val="Základní text (2)_"/>
    <w:basedOn w:val="DefaultParagraphFont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0">
    <w:name w:val="Jiné_"/>
    <w:basedOn w:val="DefaultParagraphFont"/>
    <w:link w:val="Style2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4">
    <w:name w:val="Titulek tabulky_"/>
    <w:basedOn w:val="DefaultParagraphFont"/>
    <w:link w:val="Style33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 (3)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auto"/>
      <w:spacing w:after="80"/>
      <w:ind w:firstLine="3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7">
    <w:name w:val="Titulek obrázku"/>
    <w:basedOn w:val="Normal"/>
    <w:link w:val="CharStyle8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Nadpis #1"/>
    <w:basedOn w:val="Normal"/>
    <w:link w:val="CharStyle12"/>
    <w:pPr>
      <w:widowControl w:val="0"/>
      <w:shd w:val="clear" w:color="auto" w:fill="auto"/>
      <w:spacing w:line="204" w:lineRule="auto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color w:val="68667A"/>
      <w:u w:val="none"/>
    </w:rPr>
  </w:style>
  <w:style w:type="paragraph" w:customStyle="1" w:styleId="Style14">
    <w:name w:val="Nadpis #2"/>
    <w:basedOn w:val="Normal"/>
    <w:link w:val="CharStyle15"/>
    <w:pPr>
      <w:widowControl w:val="0"/>
      <w:shd w:val="clear" w:color="auto" w:fill="auto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color w:val="68667A"/>
      <w:sz w:val="20"/>
      <w:szCs w:val="20"/>
      <w:u w:val="none"/>
    </w:rPr>
  </w:style>
  <w:style w:type="paragraph" w:customStyle="1" w:styleId="Style19">
    <w:name w:val="Základní text (2)"/>
    <w:basedOn w:val="Normal"/>
    <w:link w:val="CharStyle20"/>
    <w:pPr>
      <w:widowControl w:val="0"/>
      <w:shd w:val="clear" w:color="auto" w:fill="auto"/>
      <w:spacing w:before="340" w:line="214" w:lineRule="auto"/>
      <w:ind w:left="340" w:firstLine="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9">
    <w:name w:val="Jiné"/>
    <w:basedOn w:val="Normal"/>
    <w:link w:val="CharStyle30"/>
    <w:pPr>
      <w:widowControl w:val="0"/>
      <w:shd w:val="clear" w:color="auto" w:fill="auto"/>
      <w:spacing w:after="80"/>
      <w:ind w:firstLine="3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33">
    <w:name w:val="Titulek tabulky"/>
    <w:basedOn w:val="Normal"/>
    <w:link w:val="CharStyle34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