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CBD2" w14:textId="2709B8C9" w:rsidR="00857839" w:rsidRPr="00FC6912" w:rsidRDefault="00FD5DD0" w:rsidP="00AC3223">
      <w:pPr>
        <w:jc w:val="center"/>
        <w:rPr>
          <w:rFonts w:ascii="Aptos" w:hAnsi="Aptos" w:cs="Times New Roman"/>
          <w:b/>
          <w:bCs/>
          <w:sz w:val="32"/>
          <w:szCs w:val="32"/>
        </w:rPr>
      </w:pPr>
      <w:r w:rsidRPr="00FC6912">
        <w:rPr>
          <w:rFonts w:ascii="Aptos" w:hAnsi="Aptos" w:cs="Times New Roman"/>
          <w:b/>
          <w:bCs/>
          <w:sz w:val="32"/>
          <w:szCs w:val="32"/>
        </w:rPr>
        <w:t>Smlouva o dodávce tepelné energie</w:t>
      </w:r>
    </w:p>
    <w:p w14:paraId="7D06CE1C" w14:textId="77777777" w:rsidR="009B1D68" w:rsidRDefault="009B1D68" w:rsidP="009B1D68">
      <w:pPr>
        <w:pStyle w:val="Zkladntext2"/>
        <w:tabs>
          <w:tab w:val="left" w:pos="567"/>
        </w:tabs>
        <w:spacing w:line="278" w:lineRule="auto"/>
        <w:rPr>
          <w:rFonts w:ascii="Aptos" w:hAnsi="Aptos"/>
        </w:rPr>
      </w:pPr>
    </w:p>
    <w:p w14:paraId="73B49359" w14:textId="7396D8C4" w:rsidR="002004E2" w:rsidRPr="009B1D68" w:rsidRDefault="002004E2" w:rsidP="009B1D68">
      <w:pPr>
        <w:pStyle w:val="Zkladntext2"/>
        <w:tabs>
          <w:tab w:val="left" w:pos="567"/>
        </w:tabs>
        <w:spacing w:line="278" w:lineRule="auto"/>
        <w:rPr>
          <w:rFonts w:ascii="Aptos" w:hAnsi="Aptos"/>
        </w:rPr>
      </w:pPr>
      <w:r w:rsidRPr="00FC6912">
        <w:rPr>
          <w:rFonts w:ascii="Aptos" w:hAnsi="Aptos"/>
        </w:rPr>
        <w:t>DODAVATEL</w:t>
      </w:r>
    </w:p>
    <w:p w14:paraId="33185EB1" w14:textId="77777777" w:rsidR="002004E2" w:rsidRPr="00FC6912" w:rsidRDefault="002004E2" w:rsidP="00AC3223">
      <w:pPr>
        <w:tabs>
          <w:tab w:val="left" w:pos="567"/>
        </w:tabs>
        <w:rPr>
          <w:rFonts w:ascii="Aptos" w:hAnsi="Aptos" w:cs="Times New Roman"/>
        </w:rPr>
      </w:pPr>
      <w:bookmarkStart w:id="0" w:name="_Hlk184299289"/>
      <w:r w:rsidRPr="00FC6912">
        <w:rPr>
          <w:rFonts w:ascii="Aptos" w:hAnsi="Aptos" w:cs="Times New Roman"/>
          <w:b/>
        </w:rPr>
        <w:t>E.ON Energy</w:t>
      </w:r>
      <w:r w:rsidRPr="00FC6912">
        <w:rPr>
          <w:rFonts w:ascii="Aptos" w:hAnsi="Aptos" w:cs="Times New Roman"/>
        </w:rPr>
        <w:t xml:space="preserve"> </w:t>
      </w:r>
      <w:r w:rsidRPr="00FC6912">
        <w:rPr>
          <w:rFonts w:ascii="Aptos" w:hAnsi="Aptos" w:cs="Times New Roman"/>
          <w:b/>
          <w:bCs/>
        </w:rPr>
        <w:t>Solutions, s.r.o.</w:t>
      </w:r>
    </w:p>
    <w:p w14:paraId="48F58158" w14:textId="3CE80485" w:rsidR="002004E2" w:rsidRPr="00FC6912" w:rsidRDefault="002004E2" w:rsidP="009B1D68">
      <w:pPr>
        <w:tabs>
          <w:tab w:val="left" w:pos="567"/>
        </w:tabs>
        <w:spacing w:after="0"/>
        <w:ind w:left="3538" w:hanging="3538"/>
        <w:rPr>
          <w:rFonts w:ascii="Aptos" w:hAnsi="Aptos" w:cs="Times New Roman"/>
        </w:rPr>
      </w:pPr>
      <w:r w:rsidRPr="2D23EB25">
        <w:rPr>
          <w:rFonts w:ascii="Aptos" w:hAnsi="Aptos" w:cs="Times New Roman"/>
        </w:rPr>
        <w:t>se sídlem:</w:t>
      </w:r>
      <w:r>
        <w:tab/>
      </w:r>
      <w:r w:rsidRPr="2D23EB25">
        <w:rPr>
          <w:rFonts w:ascii="Aptos" w:hAnsi="Aptos" w:cs="Times New Roman"/>
        </w:rPr>
        <w:t>Vrbenská 2769/2, České Budějovice 5, 370 01 České Budějovice</w:t>
      </w:r>
    </w:p>
    <w:p w14:paraId="0D6FED08" w14:textId="0C1AA085" w:rsidR="002004E2" w:rsidRPr="00FC6912" w:rsidRDefault="002004E2" w:rsidP="00AC3223">
      <w:pPr>
        <w:pStyle w:val="Adrest"/>
        <w:spacing w:before="0" w:line="278" w:lineRule="auto"/>
        <w:ind w:left="3540" w:hanging="3540"/>
        <w:rPr>
          <w:rFonts w:ascii="Aptos" w:hAnsi="Aptos"/>
        </w:rPr>
      </w:pPr>
      <w:r w:rsidRPr="2D23EB25">
        <w:rPr>
          <w:rFonts w:ascii="Aptos" w:hAnsi="Aptos"/>
        </w:rPr>
        <w:t>zapsaná:</w:t>
      </w:r>
      <w:r>
        <w:tab/>
      </w:r>
      <w:r w:rsidRPr="2D23EB25">
        <w:rPr>
          <w:rFonts w:ascii="Aptos" w:hAnsi="Aptos"/>
        </w:rPr>
        <w:t>v obchodním rejstříku vedeném Krajským soudem v Českých Budějovicích pod sp. zn. C 33540</w:t>
      </w:r>
    </w:p>
    <w:p w14:paraId="19E4FA24" w14:textId="77777777" w:rsidR="002004E2" w:rsidRPr="00FC6912" w:rsidRDefault="002004E2" w:rsidP="00AC3223">
      <w:pPr>
        <w:pStyle w:val="Zhlav"/>
        <w:tabs>
          <w:tab w:val="clear" w:pos="4536"/>
          <w:tab w:val="clear" w:pos="9072"/>
          <w:tab w:val="left" w:pos="567"/>
        </w:tabs>
        <w:spacing w:line="278" w:lineRule="auto"/>
        <w:rPr>
          <w:rFonts w:ascii="Aptos" w:hAnsi="Aptos"/>
        </w:rPr>
      </w:pPr>
      <w:r w:rsidRPr="00FC6912">
        <w:rPr>
          <w:rFonts w:ascii="Aptos" w:hAnsi="Aptos"/>
        </w:rPr>
        <w:t xml:space="preserve">IČO: </w:t>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t>19803443</w:t>
      </w:r>
    </w:p>
    <w:p w14:paraId="005CED55" w14:textId="77777777" w:rsidR="002004E2" w:rsidRPr="00FC6912" w:rsidRDefault="002004E2" w:rsidP="00AC3223">
      <w:pPr>
        <w:pStyle w:val="Zhlav"/>
        <w:tabs>
          <w:tab w:val="clear" w:pos="4536"/>
          <w:tab w:val="clear" w:pos="9072"/>
          <w:tab w:val="left" w:pos="567"/>
        </w:tabs>
        <w:spacing w:line="278" w:lineRule="auto"/>
        <w:rPr>
          <w:rFonts w:ascii="Aptos" w:hAnsi="Aptos"/>
        </w:rPr>
      </w:pPr>
      <w:r w:rsidRPr="00FC6912">
        <w:rPr>
          <w:rFonts w:ascii="Aptos" w:hAnsi="Aptos"/>
        </w:rPr>
        <w:t xml:space="preserve">DIČ: </w:t>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t>CZ 19803443</w:t>
      </w:r>
    </w:p>
    <w:p w14:paraId="0809767A" w14:textId="6BA2669A" w:rsidR="002004E2" w:rsidRPr="00FC6912" w:rsidRDefault="002004E2" w:rsidP="2D23EB25">
      <w:pPr>
        <w:pStyle w:val="Zhlav"/>
        <w:tabs>
          <w:tab w:val="clear" w:pos="4536"/>
          <w:tab w:val="clear" w:pos="9072"/>
          <w:tab w:val="left" w:pos="567"/>
        </w:tabs>
        <w:spacing w:line="278" w:lineRule="auto"/>
        <w:rPr>
          <w:rFonts w:ascii="Aptos" w:hAnsi="Aptos"/>
        </w:rPr>
      </w:pPr>
      <w:r w:rsidRPr="2D23EB25">
        <w:rPr>
          <w:rFonts w:ascii="Aptos" w:hAnsi="Aptos"/>
        </w:rPr>
        <w:t>bankovní spojen</w:t>
      </w:r>
      <w:r w:rsidR="20711B8E" w:rsidRPr="2D23EB25">
        <w:rPr>
          <w:rFonts w:ascii="Aptos" w:hAnsi="Aptos"/>
        </w:rPr>
        <w:t>í:</w:t>
      </w:r>
      <w:r>
        <w:tab/>
      </w:r>
      <w:r w:rsidR="00B701CD">
        <w:t xml:space="preserve"> </w:t>
      </w:r>
      <w:r w:rsidR="20711B8E" w:rsidRPr="2D23EB25">
        <w:rPr>
          <w:rFonts w:ascii="Aptos" w:hAnsi="Aptos"/>
        </w:rPr>
        <w:t xml:space="preserve">                      </w:t>
      </w:r>
      <w:r w:rsidR="00B701CD">
        <w:rPr>
          <w:rFonts w:ascii="Aptos" w:hAnsi="Aptos"/>
        </w:rPr>
        <w:tab/>
      </w:r>
      <w:r w:rsidR="001F6B15">
        <w:rPr>
          <w:rFonts w:ascii="Aptos" w:hAnsi="Aptos"/>
        </w:rPr>
        <w:t>xxx</w:t>
      </w:r>
    </w:p>
    <w:p w14:paraId="7863FAE7" w14:textId="100EBBE4" w:rsidR="007F5293" w:rsidRPr="00FC6912" w:rsidRDefault="002004E2" w:rsidP="00AC3223">
      <w:pPr>
        <w:pStyle w:val="Adrest"/>
        <w:spacing w:before="0" w:line="278" w:lineRule="auto"/>
        <w:ind w:left="0"/>
        <w:rPr>
          <w:rFonts w:ascii="Aptos" w:hAnsi="Aptos"/>
        </w:rPr>
      </w:pPr>
      <w:r w:rsidRPr="00FC6912">
        <w:rPr>
          <w:rFonts w:ascii="Aptos" w:hAnsi="Aptos"/>
        </w:rPr>
        <w:t>zastoupená</w:t>
      </w:r>
      <w:r w:rsidR="005B5A7D" w:rsidRPr="00FC6912">
        <w:rPr>
          <w:rFonts w:ascii="Aptos" w:hAnsi="Aptos"/>
        </w:rPr>
        <w:t xml:space="preserve"> na základě plné moci</w:t>
      </w:r>
      <w:r w:rsidRPr="00FC6912">
        <w:rPr>
          <w:rFonts w:ascii="Aptos" w:hAnsi="Aptos"/>
        </w:rPr>
        <w:t xml:space="preserve">: </w:t>
      </w:r>
      <w:r w:rsidR="001F6B15">
        <w:rPr>
          <w:rFonts w:ascii="Aptos" w:hAnsi="Aptos"/>
        </w:rPr>
        <w:t>xxx</w:t>
      </w:r>
      <w:r w:rsidR="007F5293" w:rsidRPr="00FC6912">
        <w:rPr>
          <w:rFonts w:ascii="Aptos" w:hAnsi="Aptos"/>
        </w:rPr>
        <w:tab/>
      </w:r>
      <w:r w:rsidR="007F5293" w:rsidRPr="00FC6912">
        <w:rPr>
          <w:rFonts w:ascii="Aptos" w:hAnsi="Aptos"/>
        </w:rPr>
        <w:tab/>
      </w:r>
      <w:r w:rsidR="007F5293" w:rsidRPr="00FC6912">
        <w:rPr>
          <w:rFonts w:ascii="Aptos" w:hAnsi="Aptos"/>
        </w:rPr>
        <w:tab/>
      </w:r>
      <w:r w:rsidR="007F5293" w:rsidRPr="00FC6912">
        <w:rPr>
          <w:rFonts w:ascii="Aptos" w:hAnsi="Aptos"/>
        </w:rPr>
        <w:tab/>
      </w:r>
      <w:r w:rsidR="007F5293" w:rsidRPr="00FC6912">
        <w:rPr>
          <w:rFonts w:ascii="Aptos" w:hAnsi="Aptos"/>
        </w:rPr>
        <w:tab/>
      </w:r>
      <w:r w:rsidR="001F6B15">
        <w:rPr>
          <w:rFonts w:ascii="Aptos" w:hAnsi="Aptos"/>
        </w:rPr>
        <w:t>xxx</w:t>
      </w:r>
    </w:p>
    <w:p w14:paraId="7A747C01" w14:textId="451A2F6D" w:rsidR="00676C38" w:rsidRPr="00FC6912" w:rsidRDefault="00676C38" w:rsidP="00AC3223">
      <w:pPr>
        <w:pStyle w:val="Adrest"/>
        <w:spacing w:before="0" w:line="278" w:lineRule="auto"/>
        <w:ind w:left="0"/>
        <w:rPr>
          <w:rFonts w:ascii="Aptos" w:hAnsi="Aptos"/>
        </w:rPr>
      </w:pPr>
      <w:r w:rsidRPr="00FC6912">
        <w:rPr>
          <w:rFonts w:ascii="Aptos" w:hAnsi="Aptos"/>
        </w:rPr>
        <w:t xml:space="preserve">osoby oprávněné jednat ve věcech technických: </w:t>
      </w:r>
    </w:p>
    <w:p w14:paraId="3EC72849" w14:textId="61B4AFD2" w:rsidR="008F031A" w:rsidRPr="00FC6912" w:rsidRDefault="00676C38" w:rsidP="00AC3223">
      <w:pPr>
        <w:pStyle w:val="Adrest"/>
        <w:spacing w:before="0" w:line="278" w:lineRule="auto"/>
        <w:ind w:left="0"/>
        <w:rPr>
          <w:rFonts w:ascii="Aptos" w:hAnsi="Aptos"/>
        </w:rPr>
      </w:pP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001F6B15">
        <w:rPr>
          <w:rFonts w:ascii="Aptos" w:hAnsi="Aptos"/>
        </w:rPr>
        <w:t>xxx</w:t>
      </w:r>
    </w:p>
    <w:p w14:paraId="7DDC8EB2" w14:textId="198F356E" w:rsidR="00926BD6" w:rsidRPr="00FC6912" w:rsidRDefault="00926BD6" w:rsidP="00AC3223">
      <w:pPr>
        <w:pStyle w:val="Adrest"/>
        <w:spacing w:before="0" w:line="278" w:lineRule="auto"/>
        <w:ind w:left="0"/>
        <w:rPr>
          <w:rFonts w:ascii="Aptos" w:hAnsi="Aptos"/>
        </w:rPr>
      </w:pP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00052014" w:rsidRPr="00FC6912">
        <w:rPr>
          <w:rFonts w:ascii="Aptos" w:hAnsi="Aptos"/>
        </w:rPr>
        <w:t>tel.</w:t>
      </w:r>
      <w:r w:rsidR="009E5C4E" w:rsidRPr="00FC6912">
        <w:rPr>
          <w:rFonts w:ascii="Aptos" w:hAnsi="Aptos"/>
        </w:rPr>
        <w:t>:</w:t>
      </w:r>
      <w:r w:rsidR="00052014" w:rsidRPr="00FC6912">
        <w:rPr>
          <w:rFonts w:ascii="Aptos" w:hAnsi="Aptos"/>
        </w:rPr>
        <w:t xml:space="preserve"> </w:t>
      </w:r>
      <w:r w:rsidR="001F6B15">
        <w:rPr>
          <w:rFonts w:ascii="Aptos" w:hAnsi="Aptos"/>
        </w:rPr>
        <w:t>xxx</w:t>
      </w:r>
    </w:p>
    <w:p w14:paraId="0C00065D" w14:textId="269E1CDE" w:rsidR="00052014" w:rsidRPr="00FC6912" w:rsidRDefault="00052014" w:rsidP="00AC3223">
      <w:pPr>
        <w:pStyle w:val="Adrest"/>
        <w:spacing w:before="0" w:line="278" w:lineRule="auto"/>
        <w:ind w:left="0"/>
        <w:rPr>
          <w:rFonts w:ascii="Aptos" w:hAnsi="Aptos"/>
        </w:rPr>
      </w:pP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t>e-mail:</w:t>
      </w:r>
      <w:r w:rsidR="009E5C4E" w:rsidRPr="00FC6912">
        <w:rPr>
          <w:rFonts w:ascii="Aptos" w:hAnsi="Aptos"/>
        </w:rPr>
        <w:t xml:space="preserve"> </w:t>
      </w:r>
      <w:r w:rsidR="001F6B15">
        <w:rPr>
          <w:rFonts w:ascii="Aptos" w:hAnsi="Aptos"/>
        </w:rPr>
        <w:t>xxx</w:t>
      </w:r>
      <w:r w:rsidRPr="00FC6912">
        <w:rPr>
          <w:rFonts w:ascii="Aptos" w:hAnsi="Aptos"/>
        </w:rPr>
        <w:t xml:space="preserve"> </w:t>
      </w:r>
    </w:p>
    <w:p w14:paraId="644E6640" w14:textId="77777777" w:rsidR="002004E2" w:rsidRPr="00FC6912" w:rsidRDefault="002004E2" w:rsidP="00AC3223">
      <w:pPr>
        <w:tabs>
          <w:tab w:val="left" w:pos="567"/>
        </w:tabs>
        <w:rPr>
          <w:rFonts w:ascii="Aptos" w:hAnsi="Aptos" w:cs="Times New Roman"/>
        </w:rPr>
      </w:pPr>
      <w:r w:rsidRPr="00FC6912">
        <w:rPr>
          <w:rFonts w:ascii="Aptos" w:hAnsi="Aptos" w:cs="Times New Roman"/>
          <w:bCs/>
        </w:rPr>
        <w:t>(dále jen „</w:t>
      </w:r>
      <w:r w:rsidRPr="00FC6912">
        <w:rPr>
          <w:rFonts w:ascii="Aptos" w:hAnsi="Aptos" w:cs="Times New Roman"/>
          <w:b/>
          <w:bCs/>
        </w:rPr>
        <w:t>dodavatel</w:t>
      </w:r>
      <w:r w:rsidRPr="00FC6912">
        <w:rPr>
          <w:rFonts w:ascii="Aptos" w:hAnsi="Aptos" w:cs="Times New Roman"/>
          <w:bCs/>
        </w:rPr>
        <w:t>“)</w:t>
      </w:r>
    </w:p>
    <w:bookmarkEnd w:id="0"/>
    <w:p w14:paraId="2EB59A84" w14:textId="77777777" w:rsidR="002004E2" w:rsidRPr="0071044E" w:rsidRDefault="002004E2" w:rsidP="00AC3223">
      <w:pPr>
        <w:pStyle w:val="Zkladntext2"/>
        <w:tabs>
          <w:tab w:val="left" w:pos="567"/>
        </w:tabs>
        <w:spacing w:line="278" w:lineRule="auto"/>
        <w:rPr>
          <w:rFonts w:ascii="Aptos" w:hAnsi="Aptos"/>
          <w:sz w:val="16"/>
          <w:szCs w:val="16"/>
        </w:rPr>
      </w:pPr>
    </w:p>
    <w:p w14:paraId="07F577B3" w14:textId="77777777" w:rsidR="002004E2" w:rsidRPr="00FC6912" w:rsidRDefault="002004E2" w:rsidP="00AC3223">
      <w:pPr>
        <w:pStyle w:val="Zhlav"/>
        <w:tabs>
          <w:tab w:val="clear" w:pos="4536"/>
          <w:tab w:val="clear" w:pos="9072"/>
          <w:tab w:val="left" w:pos="567"/>
        </w:tabs>
        <w:spacing w:line="278" w:lineRule="auto"/>
        <w:rPr>
          <w:rFonts w:ascii="Aptos" w:hAnsi="Aptos"/>
        </w:rPr>
      </w:pPr>
      <w:r w:rsidRPr="00FC6912">
        <w:rPr>
          <w:rFonts w:ascii="Aptos" w:hAnsi="Aptos"/>
        </w:rPr>
        <w:t xml:space="preserve">a </w:t>
      </w:r>
    </w:p>
    <w:p w14:paraId="35EF50AB" w14:textId="77777777" w:rsidR="00B701CD" w:rsidRPr="0071044E" w:rsidRDefault="00B701CD" w:rsidP="00AC3223">
      <w:pPr>
        <w:pStyle w:val="Zkladntext2"/>
        <w:tabs>
          <w:tab w:val="left" w:pos="567"/>
        </w:tabs>
        <w:spacing w:line="278" w:lineRule="auto"/>
        <w:rPr>
          <w:rFonts w:ascii="Aptos" w:hAnsi="Aptos"/>
          <w:sz w:val="16"/>
          <w:szCs w:val="16"/>
        </w:rPr>
      </w:pPr>
    </w:p>
    <w:p w14:paraId="16125944" w14:textId="1CF9CB0C" w:rsidR="002004E2" w:rsidRPr="00FC6912" w:rsidRDefault="002004E2" w:rsidP="00AC3223">
      <w:pPr>
        <w:pStyle w:val="Zkladntext2"/>
        <w:tabs>
          <w:tab w:val="left" w:pos="567"/>
        </w:tabs>
        <w:spacing w:line="278" w:lineRule="auto"/>
        <w:rPr>
          <w:rFonts w:ascii="Aptos" w:hAnsi="Aptos"/>
        </w:rPr>
      </w:pPr>
      <w:r w:rsidRPr="00FC6912">
        <w:rPr>
          <w:rFonts w:ascii="Aptos" w:hAnsi="Aptos"/>
        </w:rPr>
        <w:t xml:space="preserve">ODBĚRATEL </w:t>
      </w:r>
    </w:p>
    <w:p w14:paraId="1F92E8CC" w14:textId="77777777" w:rsidR="002004E2" w:rsidRPr="00FC6912" w:rsidRDefault="002004E2" w:rsidP="00AC3223">
      <w:pPr>
        <w:rPr>
          <w:rFonts w:ascii="Aptos" w:hAnsi="Aptos" w:cs="Times New Roman"/>
          <w:b/>
          <w:bCs/>
        </w:rPr>
      </w:pPr>
      <w:r w:rsidRPr="00FC6912">
        <w:rPr>
          <w:rFonts w:ascii="Aptos" w:hAnsi="Aptos" w:cs="Times New Roman"/>
          <w:b/>
          <w:bCs/>
        </w:rPr>
        <w:t>Město Velké Meziříčí</w:t>
      </w:r>
    </w:p>
    <w:p w14:paraId="61F9ADCD" w14:textId="531ED918" w:rsidR="002004E2" w:rsidRPr="00FC6912" w:rsidRDefault="002004E2" w:rsidP="009B1D68">
      <w:pPr>
        <w:spacing w:after="0"/>
        <w:ind w:left="3538" w:hanging="3538"/>
        <w:rPr>
          <w:rFonts w:ascii="Aptos" w:hAnsi="Aptos" w:cs="Times New Roman"/>
        </w:rPr>
      </w:pPr>
      <w:r w:rsidRPr="00FC6912">
        <w:rPr>
          <w:rFonts w:ascii="Aptos" w:hAnsi="Aptos" w:cs="Times New Roman"/>
        </w:rPr>
        <w:t xml:space="preserve">se sídlem: </w:t>
      </w:r>
      <w:r w:rsidRPr="00FC6912">
        <w:rPr>
          <w:rFonts w:ascii="Aptos" w:hAnsi="Aptos" w:cs="Times New Roman"/>
        </w:rPr>
        <w:tab/>
      </w:r>
      <w:r w:rsidRPr="00FC6912">
        <w:rPr>
          <w:rFonts w:ascii="Aptos" w:hAnsi="Aptos" w:cs="Times New Roman"/>
        </w:rPr>
        <w:tab/>
        <w:t>Radnická 29/1, 594 01 Velké Meziříčí</w:t>
      </w:r>
    </w:p>
    <w:p w14:paraId="7B7AE6B7" w14:textId="77777777" w:rsidR="002004E2" w:rsidRPr="00FC6912" w:rsidRDefault="002004E2" w:rsidP="00AC3223">
      <w:pPr>
        <w:pStyle w:val="Adrest"/>
        <w:spacing w:before="0" w:line="278" w:lineRule="auto"/>
        <w:ind w:left="0"/>
        <w:rPr>
          <w:rFonts w:ascii="Aptos" w:hAnsi="Aptos"/>
        </w:rPr>
      </w:pPr>
      <w:r w:rsidRPr="00FC6912">
        <w:rPr>
          <w:rFonts w:ascii="Aptos" w:hAnsi="Aptos"/>
        </w:rPr>
        <w:t xml:space="preserve">IČ: </w:t>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t>00295671</w:t>
      </w:r>
    </w:p>
    <w:p w14:paraId="34F200D4" w14:textId="77777777" w:rsidR="002004E2" w:rsidRPr="00FC6912" w:rsidRDefault="002004E2" w:rsidP="00AC3223">
      <w:pPr>
        <w:pStyle w:val="Adrest"/>
        <w:spacing w:before="0" w:line="278" w:lineRule="auto"/>
        <w:ind w:left="0"/>
        <w:rPr>
          <w:rFonts w:ascii="Aptos" w:hAnsi="Aptos"/>
        </w:rPr>
      </w:pPr>
      <w:r w:rsidRPr="00FC6912">
        <w:rPr>
          <w:rFonts w:ascii="Aptos" w:hAnsi="Aptos"/>
        </w:rPr>
        <w:t xml:space="preserve">DIČ: </w:t>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t>CZ00295671</w:t>
      </w:r>
      <w:r w:rsidRPr="00FC6912">
        <w:rPr>
          <w:rFonts w:ascii="Aptos" w:hAnsi="Aptos"/>
        </w:rPr>
        <w:tab/>
      </w:r>
      <w:r w:rsidRPr="00FC6912">
        <w:rPr>
          <w:rFonts w:ascii="Aptos" w:hAnsi="Aptos"/>
        </w:rPr>
        <w:tab/>
      </w:r>
      <w:r w:rsidRPr="00FC6912">
        <w:rPr>
          <w:rFonts w:ascii="Aptos" w:hAnsi="Aptos"/>
        </w:rPr>
        <w:tab/>
      </w:r>
      <w:r w:rsidRPr="00FC6912">
        <w:rPr>
          <w:rFonts w:ascii="Aptos" w:hAnsi="Aptos"/>
        </w:rPr>
        <w:tab/>
      </w:r>
    </w:p>
    <w:p w14:paraId="431692B7" w14:textId="520C5785" w:rsidR="002004E2" w:rsidRPr="00FC6912" w:rsidRDefault="002004E2" w:rsidP="00AC3223">
      <w:pPr>
        <w:pStyle w:val="Adrest"/>
        <w:spacing w:before="0" w:line="278" w:lineRule="auto"/>
        <w:ind w:left="0"/>
        <w:rPr>
          <w:rFonts w:ascii="Aptos" w:hAnsi="Aptos"/>
        </w:rPr>
      </w:pPr>
      <w:r w:rsidRPr="2D23EB25">
        <w:rPr>
          <w:rFonts w:ascii="Aptos" w:hAnsi="Aptos"/>
        </w:rPr>
        <w:t>bankovní spojení:</w:t>
      </w:r>
      <w:r>
        <w:tab/>
      </w:r>
      <w:r>
        <w:tab/>
      </w:r>
      <w:r>
        <w:tab/>
      </w:r>
      <w:r w:rsidRPr="2D23EB25">
        <w:rPr>
          <w:rFonts w:ascii="Aptos" w:hAnsi="Aptos"/>
        </w:rPr>
        <w:t xml:space="preserve">č. 27-0648010287/0100, Komerční banka, a.s.  </w:t>
      </w:r>
    </w:p>
    <w:p w14:paraId="54075E2E" w14:textId="39EF2961" w:rsidR="002004E2" w:rsidRDefault="002004E2" w:rsidP="00AC3223">
      <w:pPr>
        <w:pStyle w:val="Adrest"/>
        <w:spacing w:before="0" w:line="278" w:lineRule="auto"/>
        <w:ind w:left="0"/>
        <w:rPr>
          <w:rFonts w:ascii="Aptos" w:hAnsi="Aptos"/>
        </w:rPr>
      </w:pPr>
      <w:r w:rsidRPr="2D23EB25">
        <w:rPr>
          <w:rFonts w:ascii="Aptos" w:hAnsi="Aptos"/>
        </w:rPr>
        <w:t xml:space="preserve">zastoupený: </w:t>
      </w:r>
      <w:r>
        <w:tab/>
      </w:r>
      <w:r>
        <w:tab/>
      </w:r>
      <w:r>
        <w:tab/>
      </w:r>
      <w:r>
        <w:tab/>
      </w:r>
      <w:r w:rsidR="5CFA36D6" w:rsidRPr="2D23EB25">
        <w:rPr>
          <w:rFonts w:ascii="Aptos" w:hAnsi="Aptos"/>
        </w:rPr>
        <w:t xml:space="preserve">Ing. </w:t>
      </w:r>
      <w:r w:rsidR="003749B9">
        <w:rPr>
          <w:rFonts w:ascii="Aptos" w:hAnsi="Aptos"/>
        </w:rPr>
        <w:t>a</w:t>
      </w:r>
      <w:r w:rsidR="5CFA36D6" w:rsidRPr="2D23EB25">
        <w:rPr>
          <w:rFonts w:ascii="Aptos" w:hAnsi="Aptos"/>
        </w:rPr>
        <w:t xml:space="preserve">rch. Alexandros Kaminaras, starosta </w:t>
      </w:r>
    </w:p>
    <w:p w14:paraId="2713326D" w14:textId="37B32F2A" w:rsidR="00EE3656" w:rsidRPr="00FC6912" w:rsidRDefault="00EE3656" w:rsidP="00EE3656">
      <w:pPr>
        <w:pStyle w:val="Adrest"/>
        <w:tabs>
          <w:tab w:val="left" w:pos="3544"/>
        </w:tabs>
        <w:spacing w:before="0" w:line="278" w:lineRule="auto"/>
        <w:ind w:left="0"/>
        <w:rPr>
          <w:rFonts w:ascii="Aptos" w:hAnsi="Aptos"/>
        </w:rPr>
      </w:pPr>
      <w:r>
        <w:rPr>
          <w:rFonts w:ascii="Aptos" w:hAnsi="Aptos"/>
        </w:rPr>
        <w:t>zástupce pro věci technické:</w:t>
      </w:r>
      <w:r>
        <w:rPr>
          <w:rFonts w:ascii="Aptos" w:hAnsi="Aptos"/>
        </w:rPr>
        <w:tab/>
      </w:r>
      <w:r w:rsidR="001F6B15">
        <w:rPr>
          <w:rFonts w:ascii="Aptos" w:hAnsi="Aptos"/>
        </w:rPr>
        <w:t>xxx</w:t>
      </w:r>
    </w:p>
    <w:p w14:paraId="39B4F389" w14:textId="1295DD29" w:rsidR="002004E2" w:rsidRDefault="000E615B" w:rsidP="00AC3223">
      <w:pPr>
        <w:pStyle w:val="Adrest"/>
        <w:spacing w:before="0" w:line="278" w:lineRule="auto"/>
        <w:ind w:left="0"/>
        <w:rPr>
          <w:rFonts w:ascii="Aptos" w:hAnsi="Aptos"/>
        </w:rPr>
      </w:pPr>
      <w:r>
        <w:rPr>
          <w:rFonts w:ascii="Aptos" w:hAnsi="Aptos"/>
        </w:rPr>
        <w:t xml:space="preserve">fakturační </w:t>
      </w:r>
      <w:r w:rsidR="002004E2" w:rsidRPr="7037FDAA">
        <w:rPr>
          <w:rFonts w:ascii="Aptos" w:hAnsi="Aptos"/>
        </w:rPr>
        <w:t>e-mail:</w:t>
      </w:r>
      <w:r w:rsidR="002004E2">
        <w:tab/>
      </w:r>
      <w:r w:rsidR="002004E2">
        <w:tab/>
      </w:r>
      <w:r w:rsidR="002004E2">
        <w:tab/>
      </w:r>
      <w:hyperlink r:id="rId10" w:history="1">
        <w:r w:rsidR="001F6B15">
          <w:rPr>
            <w:rStyle w:val="Hypertextovodkaz"/>
            <w:rFonts w:ascii="Aptos" w:hAnsi="Aptos"/>
          </w:rPr>
          <w:t>xxx</w:t>
        </w:r>
      </w:hyperlink>
    </w:p>
    <w:p w14:paraId="6E35943E" w14:textId="0EFFAEDF" w:rsidR="00EE3656" w:rsidRDefault="00F86998" w:rsidP="00F86998">
      <w:pPr>
        <w:pStyle w:val="Adrest"/>
        <w:tabs>
          <w:tab w:val="left" w:pos="3544"/>
        </w:tabs>
        <w:spacing w:before="0" w:line="278" w:lineRule="auto"/>
        <w:ind w:left="0"/>
        <w:rPr>
          <w:rFonts w:ascii="Aptos" w:hAnsi="Aptos"/>
        </w:rPr>
      </w:pPr>
      <w:r>
        <w:rPr>
          <w:rFonts w:ascii="Aptos" w:hAnsi="Aptos"/>
        </w:rPr>
        <w:t>m</w:t>
      </w:r>
      <w:r w:rsidR="00EE3656">
        <w:rPr>
          <w:rFonts w:ascii="Aptos" w:hAnsi="Aptos"/>
        </w:rPr>
        <w:t>ísto odběru:</w:t>
      </w:r>
      <w:r w:rsidR="00EE3656">
        <w:rPr>
          <w:rFonts w:ascii="Aptos" w:hAnsi="Aptos"/>
        </w:rPr>
        <w:tab/>
        <w:t>Bezručova 15</w:t>
      </w:r>
      <w:r w:rsidR="00D77085">
        <w:rPr>
          <w:rFonts w:ascii="Aptos" w:hAnsi="Aptos"/>
        </w:rPr>
        <w:t>20</w:t>
      </w:r>
      <w:r w:rsidR="00EE3656">
        <w:rPr>
          <w:rFonts w:ascii="Aptos" w:hAnsi="Aptos"/>
        </w:rPr>
        <w:t>/</w:t>
      </w:r>
      <w:r w:rsidR="00D77085">
        <w:rPr>
          <w:rFonts w:ascii="Aptos" w:hAnsi="Aptos"/>
        </w:rPr>
        <w:t>7</w:t>
      </w:r>
      <w:r w:rsidR="00EE3656">
        <w:rPr>
          <w:rFonts w:ascii="Aptos" w:hAnsi="Aptos"/>
        </w:rPr>
        <w:t>, 594 01 Velké Meziříčí</w:t>
      </w:r>
    </w:p>
    <w:p w14:paraId="291FBD61" w14:textId="77777777" w:rsidR="00EE3656" w:rsidRPr="00FC6912" w:rsidRDefault="00EE3656" w:rsidP="00AC3223">
      <w:pPr>
        <w:pStyle w:val="Adrest"/>
        <w:spacing w:before="0" w:line="278" w:lineRule="auto"/>
        <w:ind w:left="0"/>
        <w:rPr>
          <w:rFonts w:ascii="Aptos" w:hAnsi="Aptos"/>
        </w:rPr>
      </w:pPr>
    </w:p>
    <w:p w14:paraId="6DEFAD07" w14:textId="77777777" w:rsidR="002004E2" w:rsidRPr="00FC6912" w:rsidRDefault="002004E2" w:rsidP="00AC3223">
      <w:pPr>
        <w:tabs>
          <w:tab w:val="left" w:pos="567"/>
        </w:tabs>
        <w:spacing w:after="120"/>
        <w:jc w:val="both"/>
        <w:rPr>
          <w:rFonts w:ascii="Aptos" w:hAnsi="Aptos" w:cs="Times New Roman"/>
          <w:b/>
          <w:bCs/>
        </w:rPr>
      </w:pPr>
      <w:r w:rsidRPr="00FC6912">
        <w:rPr>
          <w:rFonts w:ascii="Aptos" w:hAnsi="Aptos" w:cs="Times New Roman"/>
          <w:bCs/>
        </w:rPr>
        <w:t>(dále jen „</w:t>
      </w:r>
      <w:r w:rsidRPr="00FC6912">
        <w:rPr>
          <w:rFonts w:ascii="Aptos" w:hAnsi="Aptos" w:cs="Times New Roman"/>
          <w:b/>
          <w:bCs/>
        </w:rPr>
        <w:t>odběratel“)</w:t>
      </w:r>
    </w:p>
    <w:p w14:paraId="591982FB" w14:textId="3045360A" w:rsidR="002004E2" w:rsidRDefault="002004E2" w:rsidP="00B701CD">
      <w:pPr>
        <w:tabs>
          <w:tab w:val="left" w:pos="567"/>
        </w:tabs>
        <w:spacing w:after="120"/>
        <w:jc w:val="both"/>
        <w:rPr>
          <w:rFonts w:ascii="Aptos" w:hAnsi="Aptos" w:cs="Times New Roman"/>
        </w:rPr>
      </w:pPr>
      <w:r w:rsidRPr="00FC6912">
        <w:rPr>
          <w:rFonts w:ascii="Aptos" w:hAnsi="Aptos" w:cs="Times New Roman"/>
        </w:rPr>
        <w:tab/>
      </w:r>
      <w:r w:rsidRPr="00FC6912">
        <w:rPr>
          <w:rFonts w:ascii="Aptos" w:hAnsi="Aptos" w:cs="Times New Roman"/>
        </w:rPr>
        <w:cr/>
        <w:t>uzavřeli podle § 76 odst. 3 energetického zákona a § 2079 a násl. občanského zákoníku tuto smlouvu o dodávce tepelné energie („</w:t>
      </w:r>
      <w:r w:rsidRPr="00FC6912">
        <w:rPr>
          <w:rFonts w:ascii="Aptos" w:hAnsi="Aptos" w:cs="Times New Roman"/>
          <w:b/>
          <w:bCs/>
        </w:rPr>
        <w:t>smlouva</w:t>
      </w:r>
      <w:r w:rsidRPr="00FC6912">
        <w:rPr>
          <w:rFonts w:ascii="Aptos" w:hAnsi="Aptos" w:cs="Times New Roman"/>
        </w:rPr>
        <w:t>“):</w:t>
      </w:r>
      <w:r w:rsidRPr="00FC6912">
        <w:rPr>
          <w:rFonts w:ascii="Aptos" w:hAnsi="Aptos" w:cs="Times New Roman"/>
        </w:rPr>
        <w:cr/>
      </w:r>
    </w:p>
    <w:p w14:paraId="2D3E972C" w14:textId="77777777" w:rsidR="00F86998" w:rsidRPr="00FC6912" w:rsidRDefault="00F86998" w:rsidP="00B701CD">
      <w:pPr>
        <w:tabs>
          <w:tab w:val="left" w:pos="567"/>
        </w:tabs>
        <w:spacing w:after="120"/>
        <w:jc w:val="both"/>
        <w:rPr>
          <w:rFonts w:ascii="Aptos" w:hAnsi="Aptos" w:cs="Times New Roman"/>
          <w:b/>
          <w:bCs/>
        </w:rPr>
      </w:pPr>
    </w:p>
    <w:p w14:paraId="42C2C27B" w14:textId="77777777" w:rsidR="002004E2" w:rsidRPr="00FC6912" w:rsidRDefault="002004E2" w:rsidP="00F86998">
      <w:pPr>
        <w:tabs>
          <w:tab w:val="left" w:pos="567"/>
        </w:tabs>
        <w:spacing w:before="360" w:after="120"/>
        <w:rPr>
          <w:rFonts w:ascii="Aptos" w:hAnsi="Aptos" w:cs="Times New Roman"/>
          <w:b/>
          <w:bCs/>
        </w:rPr>
      </w:pPr>
      <w:r w:rsidRPr="00FC6912">
        <w:rPr>
          <w:rFonts w:ascii="Aptos" w:hAnsi="Aptos" w:cs="Times New Roman"/>
          <w:b/>
          <w:bCs/>
        </w:rPr>
        <w:lastRenderedPageBreak/>
        <w:t xml:space="preserve">I. </w:t>
      </w:r>
      <w:r w:rsidRPr="00FC6912">
        <w:rPr>
          <w:rFonts w:ascii="Aptos" w:hAnsi="Aptos" w:cs="Times New Roman"/>
          <w:b/>
          <w:bCs/>
        </w:rPr>
        <w:tab/>
      </w:r>
      <w:r w:rsidRPr="00FC6912">
        <w:rPr>
          <w:rFonts w:ascii="Aptos" w:hAnsi="Aptos" w:cs="Times New Roman"/>
          <w:b/>
        </w:rPr>
        <w:t>Předmět smlouvy</w:t>
      </w:r>
      <w:r w:rsidRPr="00FC6912">
        <w:rPr>
          <w:rFonts w:ascii="Aptos" w:hAnsi="Aptos" w:cs="Times New Roman"/>
          <w:b/>
          <w:bCs/>
        </w:rPr>
        <w:t xml:space="preserve"> </w:t>
      </w:r>
    </w:p>
    <w:p w14:paraId="44ABC6B8" w14:textId="211B208A" w:rsidR="002004E2" w:rsidRPr="00FC6912" w:rsidRDefault="002004E2" w:rsidP="00F86998">
      <w:pPr>
        <w:numPr>
          <w:ilvl w:val="0"/>
          <w:numId w:val="1"/>
        </w:numPr>
        <w:tabs>
          <w:tab w:val="clear" w:pos="360"/>
          <w:tab w:val="left" w:pos="567"/>
        </w:tabs>
        <w:spacing w:after="60"/>
        <w:ind w:left="567" w:hanging="567"/>
        <w:jc w:val="both"/>
        <w:rPr>
          <w:rFonts w:ascii="Aptos" w:hAnsi="Aptos" w:cs="Times New Roman"/>
        </w:rPr>
      </w:pPr>
      <w:r w:rsidRPr="00FC6912">
        <w:rPr>
          <w:rFonts w:ascii="Aptos" w:hAnsi="Aptos" w:cs="Times New Roman"/>
        </w:rPr>
        <w:t>Předmětem této smlouvy je dodávka a odběr tepelné energie ze soustavy centrálního zásobování teplem (dále jen „</w:t>
      </w:r>
      <w:r w:rsidRPr="00FC6912">
        <w:rPr>
          <w:rFonts w:ascii="Aptos" w:hAnsi="Aptos" w:cs="Times New Roman"/>
          <w:b/>
          <w:bCs/>
        </w:rPr>
        <w:t xml:space="preserve">CZT </w:t>
      </w:r>
      <w:r w:rsidRPr="00FC6912">
        <w:rPr>
          <w:rFonts w:ascii="Aptos" w:hAnsi="Aptos" w:cs="Times New Roman"/>
        </w:rPr>
        <w:t>“), provozované dodavatelem do odběrného tepelného zařízení ve vlastnictví odběratele, které je specifikováno v Příloze č. 1 této smlouvy. Dodavatel se zavazuje dodávat odběrateli tepelnou energii v místě předání za podmínek dohodnutých v této smlouvě a odběratel se zavazuje tepelnou energii od dodavatele v místě předání odebírat a za odebranou tepelnou energii platit dodavateli cenu, to vše za podmínek dohodnutých v této smlouvě.</w:t>
      </w:r>
    </w:p>
    <w:p w14:paraId="32A44393" w14:textId="77777777" w:rsidR="002004E2" w:rsidRPr="00FC6912" w:rsidRDefault="002004E2" w:rsidP="00F86998">
      <w:pPr>
        <w:tabs>
          <w:tab w:val="left" w:pos="567"/>
        </w:tabs>
        <w:spacing w:before="360" w:after="120"/>
        <w:rPr>
          <w:rFonts w:ascii="Aptos" w:hAnsi="Aptos" w:cs="Times New Roman"/>
          <w:b/>
          <w:bCs/>
        </w:rPr>
      </w:pPr>
      <w:r w:rsidRPr="00FC6912">
        <w:rPr>
          <w:rFonts w:ascii="Aptos" w:hAnsi="Aptos" w:cs="Times New Roman"/>
          <w:b/>
          <w:bCs/>
        </w:rPr>
        <w:t>II.</w:t>
      </w:r>
      <w:r w:rsidRPr="00FC6912">
        <w:rPr>
          <w:rFonts w:ascii="Aptos" w:hAnsi="Aptos" w:cs="Times New Roman"/>
          <w:b/>
          <w:bCs/>
        </w:rPr>
        <w:tab/>
        <w:t xml:space="preserve">Množství a </w:t>
      </w:r>
      <w:r w:rsidRPr="00FC6912">
        <w:rPr>
          <w:rFonts w:ascii="Aptos" w:hAnsi="Aptos" w:cs="Times New Roman"/>
          <w:b/>
        </w:rPr>
        <w:t>místo předání tepelné energie</w:t>
      </w:r>
      <w:r w:rsidRPr="00FC6912">
        <w:rPr>
          <w:rFonts w:ascii="Aptos" w:hAnsi="Aptos" w:cs="Times New Roman"/>
          <w:b/>
          <w:bCs/>
        </w:rPr>
        <w:t xml:space="preserve"> </w:t>
      </w:r>
    </w:p>
    <w:p w14:paraId="62C124C2" w14:textId="77777777" w:rsidR="002004E2" w:rsidRPr="00FC6912" w:rsidRDefault="002004E2" w:rsidP="00F86998">
      <w:pPr>
        <w:numPr>
          <w:ilvl w:val="0"/>
          <w:numId w:val="2"/>
        </w:numPr>
        <w:tabs>
          <w:tab w:val="clear" w:pos="360"/>
          <w:tab w:val="num" w:pos="567"/>
        </w:tabs>
        <w:spacing w:after="60"/>
        <w:ind w:left="567" w:hanging="567"/>
        <w:jc w:val="both"/>
        <w:rPr>
          <w:rFonts w:ascii="Aptos" w:hAnsi="Aptos" w:cs="Times New Roman"/>
        </w:rPr>
      </w:pPr>
      <w:r w:rsidRPr="00FC6912">
        <w:rPr>
          <w:rFonts w:ascii="Aptos" w:hAnsi="Aptos" w:cs="Times New Roman"/>
        </w:rPr>
        <w:t xml:space="preserve">Předpokládané množství odebrané tepelné energie a předpokládaný časový průběh odběru tepelné energie jsou uvedeny v Příloze č. 1 této smlouvy. Předpokládané množství odebrané tepelné energie s dohodnutým předpokládaným časovým průběhem je dodavatel povinen pro odběratele zajistit, odběratel však není povinen takto sjednané množství tepelné energie s uvedeným časovým průběhem odběru od dodavatele odebrat.      </w:t>
      </w:r>
    </w:p>
    <w:p w14:paraId="26AC15D2" w14:textId="77777777" w:rsidR="002004E2" w:rsidRPr="00FC6912" w:rsidRDefault="002004E2" w:rsidP="00F86998">
      <w:pPr>
        <w:numPr>
          <w:ilvl w:val="0"/>
          <w:numId w:val="2"/>
        </w:numPr>
        <w:tabs>
          <w:tab w:val="clear" w:pos="360"/>
          <w:tab w:val="num" w:pos="567"/>
        </w:tabs>
        <w:spacing w:after="60"/>
        <w:ind w:left="567" w:hanging="567"/>
        <w:jc w:val="both"/>
        <w:rPr>
          <w:rFonts w:ascii="Aptos" w:hAnsi="Aptos" w:cs="Times New Roman"/>
        </w:rPr>
      </w:pPr>
      <w:r w:rsidRPr="00FC6912">
        <w:rPr>
          <w:rFonts w:ascii="Aptos" w:hAnsi="Aptos" w:cs="Times New Roman"/>
        </w:rPr>
        <w:t>Místem předání tepelné energie je odběrné místo. Rozumí se jím místo, v němž přechází vlastnické právo k tepelné energii z dodavatele na odběratele. Má se za to, že místo předání je v místě měření, pokud nebude v Příloze č. 1 sjednáno v jiném místě než místě měření.</w:t>
      </w:r>
    </w:p>
    <w:p w14:paraId="217C5018" w14:textId="77777777" w:rsidR="002004E2" w:rsidRPr="00FC6912" w:rsidRDefault="002004E2" w:rsidP="00F86998">
      <w:pPr>
        <w:tabs>
          <w:tab w:val="left" w:pos="567"/>
        </w:tabs>
        <w:spacing w:before="360" w:after="120"/>
        <w:rPr>
          <w:rFonts w:ascii="Aptos" w:hAnsi="Aptos" w:cs="Times New Roman"/>
          <w:b/>
          <w:bCs/>
        </w:rPr>
      </w:pPr>
      <w:r w:rsidRPr="00FC6912">
        <w:rPr>
          <w:rFonts w:ascii="Aptos" w:hAnsi="Aptos" w:cs="Times New Roman"/>
          <w:b/>
          <w:bCs/>
        </w:rPr>
        <w:t xml:space="preserve">III. </w:t>
      </w:r>
      <w:r w:rsidRPr="00FC6912">
        <w:rPr>
          <w:rFonts w:ascii="Aptos" w:hAnsi="Aptos" w:cs="Times New Roman"/>
          <w:b/>
          <w:bCs/>
        </w:rPr>
        <w:tab/>
        <w:t>Teplonosná látka</w:t>
      </w:r>
    </w:p>
    <w:p w14:paraId="39196F60" w14:textId="77777777" w:rsidR="002004E2" w:rsidRDefault="002004E2" w:rsidP="00F86998">
      <w:pPr>
        <w:pStyle w:val="Odstavecseseznamem"/>
        <w:numPr>
          <w:ilvl w:val="1"/>
          <w:numId w:val="4"/>
        </w:numPr>
        <w:spacing w:after="60"/>
        <w:ind w:left="567" w:hanging="567"/>
        <w:contextualSpacing w:val="0"/>
        <w:jc w:val="both"/>
        <w:rPr>
          <w:rFonts w:ascii="Aptos" w:hAnsi="Aptos" w:cs="Times New Roman"/>
        </w:rPr>
      </w:pPr>
      <w:r w:rsidRPr="00FC6912">
        <w:rPr>
          <w:rFonts w:ascii="Aptos" w:hAnsi="Aptos" w:cs="Times New Roman"/>
        </w:rPr>
        <w:t>Teplonosná látka a její základní parametry (teplota a tlak) jsou uvedeny v Příloze č. 1 této smlouvy.</w:t>
      </w:r>
    </w:p>
    <w:p w14:paraId="54478C81" w14:textId="6A8A5BE4" w:rsidR="009F3D59" w:rsidRPr="009F3D59" w:rsidRDefault="009F3D59" w:rsidP="00F86998">
      <w:pPr>
        <w:pStyle w:val="Odstavecseseznamem"/>
        <w:numPr>
          <w:ilvl w:val="1"/>
          <w:numId w:val="4"/>
        </w:numPr>
        <w:spacing w:after="60"/>
        <w:ind w:left="567" w:hanging="567"/>
        <w:contextualSpacing w:val="0"/>
        <w:jc w:val="both"/>
        <w:rPr>
          <w:rFonts w:ascii="Aptos" w:hAnsi="Aptos" w:cs="Times New Roman"/>
        </w:rPr>
      </w:pPr>
      <w:r w:rsidRPr="009F3D59">
        <w:rPr>
          <w:rFonts w:ascii="Aptos" w:hAnsi="Aptos" w:cs="Times New Roman"/>
        </w:rPr>
        <w:t>Teplonosná látka je ve vlastnictví dodavatele a odběratel je povinen teplonosnou látku vracet, pokud se smluvní strany nedohodnou jinak.</w:t>
      </w:r>
    </w:p>
    <w:p w14:paraId="6D86BE24" w14:textId="77777777" w:rsidR="002004E2" w:rsidRPr="00FC6912" w:rsidRDefault="002004E2" w:rsidP="00F86998">
      <w:pPr>
        <w:tabs>
          <w:tab w:val="left" w:pos="567"/>
        </w:tabs>
        <w:spacing w:before="360" w:after="120"/>
        <w:rPr>
          <w:rFonts w:ascii="Aptos" w:hAnsi="Aptos" w:cs="Times New Roman"/>
          <w:b/>
        </w:rPr>
      </w:pPr>
      <w:r w:rsidRPr="00FC6912">
        <w:rPr>
          <w:rFonts w:ascii="Aptos" w:hAnsi="Aptos" w:cs="Times New Roman"/>
          <w:b/>
          <w:bCs/>
        </w:rPr>
        <w:t>IV.</w:t>
      </w:r>
      <w:r w:rsidRPr="00FC6912">
        <w:rPr>
          <w:rFonts w:ascii="Aptos" w:hAnsi="Aptos" w:cs="Times New Roman"/>
          <w:b/>
          <w:bCs/>
        </w:rPr>
        <w:tab/>
      </w:r>
      <w:r w:rsidRPr="00FC6912">
        <w:rPr>
          <w:rFonts w:ascii="Aptos" w:hAnsi="Aptos" w:cs="Times New Roman"/>
          <w:b/>
        </w:rPr>
        <w:t>Měření tepelné energie</w:t>
      </w:r>
    </w:p>
    <w:p w14:paraId="65394C7C" w14:textId="77777777" w:rsidR="002004E2" w:rsidRPr="00FC6912" w:rsidRDefault="002004E2" w:rsidP="00F86998">
      <w:pPr>
        <w:pStyle w:val="Odstavecseseznamem"/>
        <w:numPr>
          <w:ilvl w:val="1"/>
          <w:numId w:val="3"/>
        </w:numPr>
        <w:spacing w:after="60"/>
        <w:ind w:left="567" w:hanging="567"/>
        <w:contextualSpacing w:val="0"/>
        <w:jc w:val="both"/>
        <w:rPr>
          <w:rFonts w:ascii="Aptos" w:hAnsi="Aptos" w:cs="Times New Roman"/>
        </w:rPr>
      </w:pPr>
      <w:r w:rsidRPr="00FC6912">
        <w:rPr>
          <w:rFonts w:ascii="Aptos" w:hAnsi="Aptos" w:cs="Times New Roman"/>
        </w:rPr>
        <w:t>Množství tepelné energie dodané do odběrného místa se zjišťuje odečtem z měřícího zařízení (měřidla). Údaje o množství dodané tepelné energie zjištěné z měřidla jsou podkladem pro stanovení ceny dodané tepelné energie, s výjimkou případu dle bodu 4.3 této smlouvy. Měřicí zařízení je ve vlastnictví dodavatele.</w:t>
      </w:r>
    </w:p>
    <w:p w14:paraId="62380FFB" w14:textId="77777777" w:rsidR="002004E2" w:rsidRPr="00FC6912" w:rsidRDefault="002004E2" w:rsidP="00F86998">
      <w:pPr>
        <w:pStyle w:val="Odstavecseseznamem"/>
        <w:numPr>
          <w:ilvl w:val="1"/>
          <w:numId w:val="3"/>
        </w:numPr>
        <w:spacing w:after="60"/>
        <w:ind w:left="567" w:hanging="567"/>
        <w:contextualSpacing w:val="0"/>
        <w:jc w:val="both"/>
        <w:rPr>
          <w:rFonts w:ascii="Aptos" w:hAnsi="Aptos" w:cs="Times New Roman"/>
        </w:rPr>
      </w:pPr>
      <w:r w:rsidRPr="00FC6912">
        <w:rPr>
          <w:rFonts w:ascii="Aptos" w:hAnsi="Aptos" w:cs="Times New Roman"/>
        </w:rPr>
        <w:t>Místo a způsob měření dodané tepelné energie jsou uvedeny v Příloze č. 1 této smlouvy.</w:t>
      </w:r>
    </w:p>
    <w:p w14:paraId="1BC9EF58" w14:textId="77777777" w:rsidR="002004E2" w:rsidRDefault="002004E2" w:rsidP="00F86998">
      <w:pPr>
        <w:pStyle w:val="Odstavecseseznamem"/>
        <w:numPr>
          <w:ilvl w:val="1"/>
          <w:numId w:val="3"/>
        </w:numPr>
        <w:spacing w:after="60"/>
        <w:ind w:left="567" w:hanging="567"/>
        <w:contextualSpacing w:val="0"/>
        <w:jc w:val="both"/>
        <w:rPr>
          <w:rFonts w:ascii="Aptos" w:hAnsi="Aptos" w:cs="Times New Roman"/>
        </w:rPr>
      </w:pPr>
      <w:r w:rsidRPr="00FC6912">
        <w:rPr>
          <w:rFonts w:ascii="Aptos" w:hAnsi="Aptos" w:cs="Times New Roman"/>
        </w:rPr>
        <w:t xml:space="preserve">Dojde-li k poruše měřidla nebo jeho pravidelnému ověřování, nelze po dobu poruchy měřidla nebo po dobu jeho ověřování při stanovení množství dodané tepelné energie vycházet z číselných údajů zjištěných odečtem měřidla. V takovém případě se množství dodané tepelné energie stanoví náhradním způsobem uvedeným v Příloze č. 2 této smlouvy. </w:t>
      </w:r>
    </w:p>
    <w:p w14:paraId="29A3F137" w14:textId="34086FC9" w:rsidR="00C22F00" w:rsidRDefault="00C22F00" w:rsidP="00F86998">
      <w:pPr>
        <w:pStyle w:val="Odstavecseseznamem"/>
        <w:numPr>
          <w:ilvl w:val="1"/>
          <w:numId w:val="3"/>
        </w:numPr>
        <w:spacing w:after="60"/>
        <w:ind w:left="567" w:hanging="567"/>
        <w:contextualSpacing w:val="0"/>
        <w:jc w:val="both"/>
        <w:rPr>
          <w:rFonts w:ascii="Aptos" w:hAnsi="Aptos" w:cs="Times New Roman"/>
        </w:rPr>
      </w:pPr>
      <w:r w:rsidRPr="00C22F00">
        <w:rPr>
          <w:rFonts w:ascii="Aptos" w:hAnsi="Aptos" w:cs="Times New Roman"/>
        </w:rPr>
        <w:lastRenderedPageBreak/>
        <w:t xml:space="preserve">Dodavatel je oprávněn kontrolovat dodržování sjednaných technických parametrů v Příloze 1. K provedení této kontroly je odběratel povinen umožnit přístup pracovníků dodavatele ke svému odběrnému tepelnému zařízení. </w:t>
      </w:r>
    </w:p>
    <w:p w14:paraId="59860770" w14:textId="2A9F5986" w:rsidR="00C22F00" w:rsidRPr="00C22F00" w:rsidRDefault="00C22F00" w:rsidP="00F86998">
      <w:pPr>
        <w:pStyle w:val="Odstavecseseznamem"/>
        <w:numPr>
          <w:ilvl w:val="1"/>
          <w:numId w:val="3"/>
        </w:numPr>
        <w:spacing w:after="60"/>
        <w:ind w:left="567" w:hanging="567"/>
        <w:contextualSpacing w:val="0"/>
        <w:jc w:val="both"/>
        <w:rPr>
          <w:rFonts w:ascii="Aptos" w:hAnsi="Aptos" w:cs="Times New Roman"/>
        </w:rPr>
      </w:pPr>
      <w:r w:rsidRPr="00C22F00">
        <w:rPr>
          <w:rFonts w:ascii="Aptos" w:hAnsi="Aptos" w:cs="Times New Roman"/>
        </w:rPr>
        <w:t>Zjistí-li odběratel poruchu měřidla, je povinen toto neprodleně nahlásit dodavateli.</w:t>
      </w:r>
    </w:p>
    <w:p w14:paraId="072517D3" w14:textId="77777777" w:rsidR="002004E2" w:rsidRPr="00FC6912" w:rsidRDefault="002004E2" w:rsidP="00F86998">
      <w:pPr>
        <w:tabs>
          <w:tab w:val="left" w:pos="567"/>
        </w:tabs>
        <w:spacing w:before="360" w:after="120"/>
        <w:rPr>
          <w:rFonts w:ascii="Aptos" w:hAnsi="Aptos" w:cs="Times New Roman"/>
          <w:b/>
        </w:rPr>
      </w:pPr>
      <w:r w:rsidRPr="00FC6912">
        <w:rPr>
          <w:rFonts w:ascii="Aptos" w:hAnsi="Aptos" w:cs="Times New Roman"/>
          <w:b/>
          <w:bCs/>
        </w:rPr>
        <w:t xml:space="preserve">V. </w:t>
      </w:r>
      <w:r w:rsidRPr="00FC6912">
        <w:rPr>
          <w:rFonts w:ascii="Aptos" w:hAnsi="Aptos" w:cs="Times New Roman"/>
          <w:b/>
          <w:bCs/>
        </w:rPr>
        <w:tab/>
      </w:r>
      <w:r w:rsidRPr="00FC6912">
        <w:rPr>
          <w:rFonts w:ascii="Aptos" w:hAnsi="Aptos" w:cs="Times New Roman"/>
          <w:b/>
        </w:rPr>
        <w:t>Cena tepelné energie, termíny a způsob platby, zálohy</w:t>
      </w:r>
    </w:p>
    <w:p w14:paraId="350FBC1D"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 xml:space="preserve">5.1 </w:t>
      </w:r>
      <w:r w:rsidRPr="00FC6912">
        <w:rPr>
          <w:rFonts w:ascii="Aptos" w:hAnsi="Aptos" w:cs="Times New Roman"/>
        </w:rPr>
        <w:tab/>
      </w:r>
      <w:bookmarkStart w:id="1" w:name="_Hlk152771385"/>
      <w:r w:rsidRPr="00FC6912">
        <w:rPr>
          <w:rFonts w:ascii="Aptos" w:hAnsi="Aptos" w:cs="Times New Roman"/>
        </w:rPr>
        <w:t>Cena za dodanou tepelnou energii je cenou věcně usměrňovanou. Cena za tepelnou energii dodanou dodavatelem odběrateli do odběrného místa v množství zjištěném měřením v místě měření se stanoví na základě cenové kalkulace. Cena tepelné energie je kalkulována v souladu s aktuálně platným cenovým rozhodnutím Energetického regulačního úřadu (dále jen „ERÚ“) k cenám tepelné energie a v souladu se zákonem o cenách.</w:t>
      </w:r>
    </w:p>
    <w:p w14:paraId="099692EC"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5.2</w:t>
      </w:r>
      <w:r w:rsidRPr="00FC6912">
        <w:rPr>
          <w:rFonts w:ascii="Aptos" w:hAnsi="Aptos" w:cs="Times New Roman"/>
        </w:rPr>
        <w:tab/>
        <w:t xml:space="preserve">Smluvní strany se dohodly, že cenu tepelné energie pro příslušný kalendářní rok kalkuluje dodavatel jako cenu předběžnou a po ukončení kalendářního roku jako cenu výslednou. </w:t>
      </w:r>
    </w:p>
    <w:p w14:paraId="3B112F70"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5.3</w:t>
      </w:r>
      <w:r w:rsidRPr="00FC6912">
        <w:rPr>
          <w:rFonts w:ascii="Aptos" w:hAnsi="Aptos" w:cs="Times New Roman"/>
        </w:rPr>
        <w:tab/>
        <w:t>Předběžná cena tepelné energie vychází z předběžné kalkulace, ve které lze uplatnit pouze předpokládané ekonomicky oprávněné náklady, přiměřený zisk a předpokládané množství dodané tepelné energie v daném kalendářním roce.</w:t>
      </w:r>
    </w:p>
    <w:p w14:paraId="7D63BF3A" w14:textId="6A5190DC"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5.4</w:t>
      </w:r>
      <w:r w:rsidRPr="00FC6912">
        <w:rPr>
          <w:rFonts w:ascii="Aptos" w:hAnsi="Aptos" w:cs="Times New Roman"/>
        </w:rPr>
        <w:tab/>
        <w:t xml:space="preserve">Výsledná cena tepelné energie vychází z výsledné kalkulace, která obsahuje skutečně vynaložené ekonomicky oprávněné náklady, přiměřený zisk a skutečné množství dodané tepelné energie za ukončený kalendářní rok. </w:t>
      </w:r>
    </w:p>
    <w:p w14:paraId="42535606"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5.5</w:t>
      </w:r>
      <w:r w:rsidRPr="00FC6912">
        <w:rPr>
          <w:rFonts w:ascii="Aptos" w:hAnsi="Aptos" w:cs="Times New Roman"/>
        </w:rPr>
        <w:tab/>
        <w:t xml:space="preserve">Předběžná cena tepelné energie pro rok </w:t>
      </w:r>
      <w:bookmarkStart w:id="2" w:name="_Hlk184299591"/>
      <w:r w:rsidRPr="00FC6912">
        <w:rPr>
          <w:rFonts w:ascii="Aptos" w:hAnsi="Aptos" w:cs="Times New Roman"/>
        </w:rPr>
        <w:t xml:space="preserve">2025 je 1 050 Kč/GJ bez DPH. </w:t>
      </w:r>
      <w:bookmarkEnd w:id="2"/>
    </w:p>
    <w:p w14:paraId="3ACCB645"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5.6</w:t>
      </w:r>
      <w:r w:rsidRPr="00FC6912">
        <w:rPr>
          <w:rFonts w:ascii="Aptos" w:hAnsi="Aptos" w:cs="Times New Roman"/>
        </w:rPr>
        <w:tab/>
        <w:t xml:space="preserve">Předběžnou cenou tepelné energie pro další kalendářní rok oznámí dodavatel odběrateli písemnou formou a adresně vždy nejpozději do 30. listopadu předchozího kalendářního roku. Pokud odběratel s předběžnou cenou nesouhlasí, je oprávněn smlouvu písemně vypovědět, a to ke konci stávajícího kalendářního roku. Výpověď musí být doručena dodavateli nejpozději do 15. prosince, jinak k ukončení smlouvy ke konci kalendářního roku na základě výpovědi nedojde. </w:t>
      </w:r>
    </w:p>
    <w:p w14:paraId="78458970"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5.7</w:t>
      </w:r>
      <w:r w:rsidRPr="00FC6912">
        <w:rPr>
          <w:rFonts w:ascii="Aptos" w:hAnsi="Aptos" w:cs="Times New Roman"/>
        </w:rPr>
        <w:tab/>
        <w:t>Má se za to, že výsledná cena tepelné energie je sjednána ve výši předběžné ceny tepelné energie (dále jen „sjednaná výsledná cena“). Pokud ovšem výsledná cena tepelné energie zjištěná na základě výsledné kalkulace pro daný kalendářní rok nebude odpovídat sjednané výsledné ceně, zavazuje se odběratel zaplatit dodavateli za tepelnou energii dodanou v příslušném kalendářním roce cenu zjištěnou na základě výsledné kalkulace pro daný kalendářní rok.</w:t>
      </w:r>
    </w:p>
    <w:p w14:paraId="597197F9"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5.8</w:t>
      </w:r>
      <w:r w:rsidRPr="00FC6912">
        <w:rPr>
          <w:rFonts w:ascii="Aptos" w:hAnsi="Aptos" w:cs="Times New Roman"/>
        </w:rPr>
        <w:tab/>
        <w:t xml:space="preserve">Odběratel se zavazuje platit dodavateli pravidelné měsíční zálohy na cenu tepelné energie, a to na základě předpisu záloh, který dodavatel oznámí odběrateli spolu s předběžnou cenou tepelné energie. Výše záloh se stanoví s ohledem na předpokládané množství dodané tepelné energie v kalendářním roce, které vyplývá z předpokládaného dohodnutého časového průběhu odběru tepelné energie (odběrového diagramu). </w:t>
      </w:r>
      <w:r w:rsidRPr="00FC6912">
        <w:rPr>
          <w:rFonts w:ascii="Aptos" w:hAnsi="Aptos" w:cs="Times New Roman"/>
        </w:rPr>
        <w:lastRenderedPageBreak/>
        <w:t>Zálohy jsou splatné do 15. dne měsíce, za který se platí, a to bezhotovostním převodem na účet dodavatele uvedený v záhlaví smlouvy.</w:t>
      </w:r>
    </w:p>
    <w:p w14:paraId="327F3502" w14:textId="45A4A82D"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5.9</w:t>
      </w:r>
      <w:r w:rsidRPr="00FC6912">
        <w:rPr>
          <w:rFonts w:ascii="Aptos" w:hAnsi="Aptos" w:cs="Times New Roman"/>
        </w:rPr>
        <w:tab/>
        <w:t>Výslednou cenou tepelné energie za uplynulý kalendářní rok zjištěnou na základě výsledné kalkulace oznámí dodavatel odběrateli nejpozději do 2</w:t>
      </w:r>
      <w:r w:rsidR="005C78E9">
        <w:rPr>
          <w:rFonts w:ascii="Aptos" w:hAnsi="Aptos" w:cs="Times New Roman"/>
        </w:rPr>
        <w:t>5</w:t>
      </w:r>
      <w:r w:rsidRPr="00FC6912">
        <w:rPr>
          <w:rFonts w:ascii="Aptos" w:hAnsi="Aptos" w:cs="Times New Roman"/>
        </w:rPr>
        <w:t xml:space="preserve">. </w:t>
      </w:r>
      <w:r w:rsidR="005C78E9">
        <w:rPr>
          <w:rFonts w:ascii="Aptos" w:hAnsi="Aptos" w:cs="Times New Roman"/>
        </w:rPr>
        <w:t>ledna</w:t>
      </w:r>
      <w:r w:rsidRPr="00FC6912">
        <w:rPr>
          <w:rFonts w:ascii="Aptos" w:hAnsi="Aptos" w:cs="Times New Roman"/>
        </w:rPr>
        <w:t xml:space="preserve"> následujícího kalendářního roku, a to písemně spolu s vyúčtováním dodávky tepelné energie k 31. prosinci kalendářního roku, které bude obsahovat všechny náležitosti dle platných právních předpisů. </w:t>
      </w:r>
      <w:r w:rsidR="005C78E9" w:rsidRPr="005C78E9">
        <w:rPr>
          <w:rFonts w:ascii="Aptos" w:hAnsi="Aptos" w:cs="Times New Roman"/>
        </w:rPr>
        <w:t xml:space="preserve">Ve vyúčtovací faktuře za dodávku tepelné energie bude uvedeno Datum uskutečnění zdanitelného plnění 31. prosince daného kalendářního roku. </w:t>
      </w:r>
      <w:r w:rsidRPr="00FC6912">
        <w:rPr>
          <w:rFonts w:ascii="Aptos" w:hAnsi="Aptos" w:cs="Times New Roman"/>
        </w:rPr>
        <w:t xml:space="preserve">Ve vyúčtování budou zohledněny zaplacené zálohy. Nedoplatek je splatný do 15. </w:t>
      </w:r>
      <w:r w:rsidR="005C78E9">
        <w:rPr>
          <w:rFonts w:ascii="Aptos" w:hAnsi="Aptos" w:cs="Times New Roman"/>
        </w:rPr>
        <w:t>února</w:t>
      </w:r>
      <w:r w:rsidRPr="00FC6912">
        <w:rPr>
          <w:rFonts w:ascii="Aptos" w:hAnsi="Aptos" w:cs="Times New Roman"/>
        </w:rPr>
        <w:t xml:space="preserve"> následujícího kalendářního roku bezhotovostním převodem na účet dodavatele uvedený v záhlaví smlouvy. Přeplatek je splatný do 15. </w:t>
      </w:r>
      <w:r w:rsidR="005C78E9">
        <w:rPr>
          <w:rFonts w:ascii="Aptos" w:hAnsi="Aptos" w:cs="Times New Roman"/>
        </w:rPr>
        <w:t>února</w:t>
      </w:r>
      <w:r w:rsidRPr="00FC6912">
        <w:rPr>
          <w:rFonts w:ascii="Aptos" w:hAnsi="Aptos" w:cs="Times New Roman"/>
        </w:rPr>
        <w:t xml:space="preserve"> následujícího kalendářního roku bezhotovostním převodem na účet odběratele uvedeného v záhlaví smlouvy.</w:t>
      </w:r>
    </w:p>
    <w:p w14:paraId="7DEAF335"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5.10</w:t>
      </w:r>
      <w:r w:rsidRPr="00FC6912">
        <w:rPr>
          <w:rFonts w:ascii="Aptos" w:hAnsi="Aptos" w:cs="Times New Roman"/>
        </w:rPr>
        <w:tab/>
        <w:t xml:space="preserve">Cena tepelné energie se sjednává jako jednosložková. K předběžné ceně, výsledné ceně, zálohám a ostatním účtovaným částkám se připočítává daň z přidané hodnoty v zákonné výši, případně i jiné daně v souladu s platnými právními předpisy. </w:t>
      </w:r>
    </w:p>
    <w:p w14:paraId="2ACA8FFF" w14:textId="75603F8C"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5.11</w:t>
      </w:r>
      <w:r w:rsidRPr="00FC6912">
        <w:rPr>
          <w:rFonts w:ascii="Aptos" w:hAnsi="Aptos" w:cs="Times New Roman"/>
        </w:rPr>
        <w:tab/>
        <w:t xml:space="preserve">Zúčtovacím obdobím je kalendářní rok, ledaže k zahájení dodávky a/nebo ukončení dodávky tepelné energie dojde v průběhu kalendářního roku, tzn. zahájení dodávky nebude k 1.lednu a/nebo ukončení dodávky nebude k 31. prosinci.  </w:t>
      </w:r>
    </w:p>
    <w:p w14:paraId="65F41923"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5.12</w:t>
      </w:r>
      <w:r w:rsidRPr="00FC6912">
        <w:rPr>
          <w:rFonts w:ascii="Aptos" w:hAnsi="Aptos" w:cs="Times New Roman"/>
        </w:rPr>
        <w:tab/>
        <w:t>Splatnost uvedená na daňových dokladech je pro odběratele závazná. Nedodržení termínu je považováno za porušení smluvní povinnosti ze strany odběratele.</w:t>
      </w:r>
    </w:p>
    <w:p w14:paraId="0EB9E036" w14:textId="77777777" w:rsidR="002004E2" w:rsidRDefault="002004E2" w:rsidP="00F86998">
      <w:pPr>
        <w:spacing w:after="60"/>
        <w:ind w:left="567" w:hanging="567"/>
        <w:jc w:val="both"/>
        <w:rPr>
          <w:rFonts w:ascii="Aptos" w:hAnsi="Aptos" w:cs="Times New Roman"/>
        </w:rPr>
      </w:pPr>
      <w:r w:rsidRPr="00FC6912">
        <w:rPr>
          <w:rFonts w:ascii="Aptos" w:hAnsi="Aptos" w:cs="Times New Roman"/>
        </w:rPr>
        <w:t>5.13</w:t>
      </w:r>
      <w:r w:rsidRPr="00FC6912">
        <w:rPr>
          <w:rFonts w:ascii="Aptos" w:hAnsi="Aptos" w:cs="Times New Roman"/>
        </w:rPr>
        <w:tab/>
        <w:t>Daňový doklad musí splňovat všechny náležitosti daňového dokladu dle zákona č. 235/2004 Sb., ve znění pozdějších předpisů. Odběratel je oprávněn před uplynutím doby splatnosti vrátit bez zaplacení daňový doklad, který neobsahuje některou z náležitostí. K vrácenému daňovému dokladu musí být přiloženo písemné zdůvodnění vrácení daňového dokladu. Oprávněným vrácením daňového dokladu přestává běžet původní lhůta splatnosti. Celá lhůta splatnosti běží znovu ode dne doručení opraveného nebo nově vyhotoveného daňového dokladu dodavatelem.</w:t>
      </w:r>
    </w:p>
    <w:bookmarkEnd w:id="1"/>
    <w:p w14:paraId="5338356E" w14:textId="77777777" w:rsidR="002004E2" w:rsidRPr="00FC6912" w:rsidRDefault="002004E2" w:rsidP="00F86998">
      <w:pPr>
        <w:tabs>
          <w:tab w:val="left" w:pos="567"/>
        </w:tabs>
        <w:spacing w:before="360" w:after="120"/>
        <w:rPr>
          <w:rFonts w:ascii="Aptos" w:hAnsi="Aptos" w:cs="Times New Roman"/>
          <w:b/>
          <w:bCs/>
        </w:rPr>
      </w:pPr>
      <w:r w:rsidRPr="00FC6912">
        <w:rPr>
          <w:rFonts w:ascii="Aptos" w:hAnsi="Aptos" w:cs="Times New Roman"/>
          <w:b/>
          <w:bCs/>
        </w:rPr>
        <w:t>VI.</w:t>
      </w:r>
      <w:r w:rsidRPr="00FC6912">
        <w:rPr>
          <w:rFonts w:ascii="Aptos" w:hAnsi="Aptos" w:cs="Times New Roman"/>
          <w:b/>
          <w:bCs/>
        </w:rPr>
        <w:tab/>
        <w:t xml:space="preserve">Doba </w:t>
      </w:r>
      <w:r w:rsidRPr="00FC6912">
        <w:rPr>
          <w:rFonts w:ascii="Aptos" w:hAnsi="Aptos" w:cs="Times New Roman"/>
          <w:b/>
        </w:rPr>
        <w:t>trvání, změny a ukončení smlouvy</w:t>
      </w:r>
    </w:p>
    <w:p w14:paraId="2E668E69" w14:textId="398B0BDD" w:rsidR="002004E2" w:rsidRPr="00FC6912" w:rsidRDefault="002004E2" w:rsidP="00F86998">
      <w:pPr>
        <w:pStyle w:val="Odstavecseseznamem"/>
        <w:numPr>
          <w:ilvl w:val="1"/>
          <w:numId w:val="5"/>
        </w:numPr>
        <w:spacing w:after="60"/>
        <w:ind w:left="567" w:hanging="567"/>
        <w:contextualSpacing w:val="0"/>
        <w:jc w:val="both"/>
        <w:rPr>
          <w:rFonts w:ascii="Aptos" w:hAnsi="Aptos" w:cs="Times New Roman"/>
        </w:rPr>
      </w:pPr>
      <w:r w:rsidRPr="00FC6912">
        <w:rPr>
          <w:rFonts w:ascii="Aptos" w:hAnsi="Aptos" w:cs="Times New Roman"/>
        </w:rPr>
        <w:t>Smlouva se uzavírá na dobu neurčitou se </w:t>
      </w:r>
      <w:r w:rsidR="000E615B">
        <w:rPr>
          <w:rFonts w:ascii="Aptos" w:hAnsi="Aptos" w:cs="Times New Roman"/>
        </w:rPr>
        <w:t>12měsíční</w:t>
      </w:r>
      <w:r w:rsidRPr="00FC6912">
        <w:rPr>
          <w:rFonts w:ascii="Aptos" w:hAnsi="Aptos" w:cs="Times New Roman"/>
        </w:rPr>
        <w:t xml:space="preserve"> výpovědní dobou, která začíná běžet od prvního dne měsíce následujícího po doručení písemné výpovědi druhé smluvní straně. </w:t>
      </w:r>
    </w:p>
    <w:p w14:paraId="2F7216A1" w14:textId="77777777" w:rsidR="002004E2" w:rsidRPr="00FC6912" w:rsidRDefault="002004E2" w:rsidP="00F86998">
      <w:pPr>
        <w:pStyle w:val="Odstavecseseznamem"/>
        <w:numPr>
          <w:ilvl w:val="1"/>
          <w:numId w:val="5"/>
        </w:numPr>
        <w:spacing w:after="60"/>
        <w:ind w:left="567" w:hanging="567"/>
        <w:contextualSpacing w:val="0"/>
        <w:jc w:val="both"/>
        <w:rPr>
          <w:rFonts w:ascii="Aptos" w:hAnsi="Aptos" w:cs="Times New Roman"/>
        </w:rPr>
      </w:pPr>
      <w:r w:rsidRPr="00FC6912">
        <w:rPr>
          <w:rFonts w:ascii="Aptos" w:hAnsi="Aptos" w:cs="Times New Roman"/>
        </w:rPr>
        <w:t>Smluvní strany se výslovně dohodly, že výpověď smlouvy dle odst. 5.6 a 6.1 musí být zaslána písemně formou doporučeného dopisu a je považována za doručenou jejím převzetím druhou smluvní stranou, v případě uložení na poště uplynutím úložní lhůty a v případě nedoručitelnosti pátým dnem po odeslání doporučeného dopisu na adresu sídla druhé smluvní strany uvedenou ve smlouvě, popřípadě na jinou doručovací adresu, která byla řádně druhé smluvní straně oznámena.</w:t>
      </w:r>
    </w:p>
    <w:p w14:paraId="46DAF914" w14:textId="77777777" w:rsidR="002004E2" w:rsidRPr="00FC6912" w:rsidRDefault="002004E2" w:rsidP="00F86998">
      <w:pPr>
        <w:pStyle w:val="Odstavecseseznamem"/>
        <w:numPr>
          <w:ilvl w:val="1"/>
          <w:numId w:val="5"/>
        </w:numPr>
        <w:spacing w:after="60"/>
        <w:ind w:left="567" w:hanging="567"/>
        <w:contextualSpacing w:val="0"/>
        <w:jc w:val="both"/>
        <w:rPr>
          <w:rFonts w:ascii="Aptos" w:hAnsi="Aptos" w:cs="Times New Roman"/>
        </w:rPr>
      </w:pPr>
      <w:r w:rsidRPr="00FC6912">
        <w:rPr>
          <w:rFonts w:ascii="Aptos" w:hAnsi="Aptos" w:cs="Times New Roman"/>
        </w:rPr>
        <w:lastRenderedPageBreak/>
        <w:t>Jakékoliv změny této smlouvy musí být učiněny formou vzestupně číslovaných písemných dodatků podepsaných oběma smluvními stranami na jedné listině.</w:t>
      </w:r>
    </w:p>
    <w:p w14:paraId="5A83ADBB" w14:textId="59BA7518" w:rsidR="002004E2" w:rsidRPr="00FC6912" w:rsidRDefault="002004E2" w:rsidP="00F86998">
      <w:pPr>
        <w:tabs>
          <w:tab w:val="left" w:pos="567"/>
        </w:tabs>
        <w:spacing w:before="360" w:after="120"/>
        <w:rPr>
          <w:rFonts w:ascii="Aptos" w:hAnsi="Aptos" w:cs="Times New Roman"/>
          <w:b/>
          <w:bCs/>
        </w:rPr>
      </w:pPr>
      <w:r w:rsidRPr="0039261E">
        <w:rPr>
          <w:rFonts w:ascii="Aptos" w:hAnsi="Aptos" w:cs="Times New Roman"/>
          <w:b/>
          <w:bCs/>
        </w:rPr>
        <w:t xml:space="preserve"> </w:t>
      </w:r>
      <w:r w:rsidRPr="00FC6912">
        <w:rPr>
          <w:rFonts w:ascii="Aptos" w:hAnsi="Aptos" w:cs="Times New Roman"/>
          <w:b/>
          <w:bCs/>
        </w:rPr>
        <w:t xml:space="preserve">VII. Ostatní </w:t>
      </w:r>
      <w:r w:rsidRPr="00F86998">
        <w:rPr>
          <w:rFonts w:ascii="Aptos" w:hAnsi="Aptos" w:cs="Times New Roman"/>
          <w:b/>
        </w:rPr>
        <w:t>ujednání</w:t>
      </w:r>
    </w:p>
    <w:p w14:paraId="08ACD746"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7.1</w:t>
      </w:r>
      <w:r w:rsidRPr="00FC6912">
        <w:rPr>
          <w:rFonts w:ascii="Aptos" w:hAnsi="Aptos" w:cs="Times New Roman"/>
        </w:rPr>
        <w:tab/>
        <w:t>Odběr elektřiny a odběr vody pro ohřev teplé vody a vody pro doplňování systému vytápění je zajištěn prostřednictvím odběratele a je předmětem ujednání v samostatné smlouvě uzavřené mezi odběratelem a dodavatelem.</w:t>
      </w:r>
    </w:p>
    <w:p w14:paraId="358827D6"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7.2</w:t>
      </w:r>
      <w:r w:rsidRPr="00FC6912">
        <w:rPr>
          <w:rFonts w:ascii="Aptos" w:hAnsi="Aptos" w:cs="Times New Roman"/>
        </w:rPr>
        <w:tab/>
        <w:t>Odběr plynu pro provoz plynové kotelny dodavatele, si zajišťuje dodavatel sám prostřednictvím samostatné smlouvy uzavřené mezi dodavatelem a jeho dodavatelem zemního plynu.</w:t>
      </w:r>
    </w:p>
    <w:p w14:paraId="49253987" w14:textId="77777777" w:rsidR="002004E2" w:rsidRPr="00FC6912" w:rsidRDefault="002004E2" w:rsidP="00F86998">
      <w:pPr>
        <w:spacing w:after="60"/>
        <w:ind w:left="567" w:hanging="567"/>
        <w:jc w:val="both"/>
        <w:rPr>
          <w:rFonts w:ascii="Aptos" w:hAnsi="Aptos" w:cs="Times New Roman"/>
        </w:rPr>
      </w:pPr>
      <w:r w:rsidRPr="00FC6912">
        <w:rPr>
          <w:rFonts w:ascii="Aptos" w:hAnsi="Aptos" w:cs="Times New Roman"/>
        </w:rPr>
        <w:t>7.3</w:t>
      </w:r>
      <w:r w:rsidRPr="00FC6912">
        <w:rPr>
          <w:rFonts w:ascii="Aptos" w:hAnsi="Aptos" w:cs="Times New Roman"/>
        </w:rPr>
        <w:tab/>
        <w:t>Pro případ plánovaných přerušení dodávek nebo odběrů tepelné energie z důvodů revizí, plánovaných úprav či údržby CZT Velké Meziříčí, rozvodného tepelného zařízení nebo tepelného zařízení odběratele, se obě smluvní strany zavazují takováto přerušení s dostatečným předstihem a prokazatelně o nich budou informovat druhou smluvní stranu.</w:t>
      </w:r>
    </w:p>
    <w:p w14:paraId="4FAD7272" w14:textId="13A3B995" w:rsidR="002004E2" w:rsidRPr="00FC6912" w:rsidRDefault="002004E2" w:rsidP="00F86998">
      <w:pPr>
        <w:spacing w:after="60"/>
        <w:ind w:left="567" w:hanging="567"/>
        <w:jc w:val="both"/>
        <w:rPr>
          <w:rFonts w:ascii="Aptos" w:hAnsi="Aptos" w:cs="Times New Roman"/>
          <w:b/>
        </w:rPr>
      </w:pPr>
      <w:r w:rsidRPr="00FC6912">
        <w:rPr>
          <w:rFonts w:ascii="Aptos" w:hAnsi="Aptos" w:cs="Times New Roman"/>
        </w:rPr>
        <w:t>7.4</w:t>
      </w:r>
      <w:r w:rsidRPr="00FC6912">
        <w:rPr>
          <w:rFonts w:ascii="Aptos" w:hAnsi="Aptos" w:cs="Times New Roman"/>
        </w:rPr>
        <w:tab/>
        <w:t xml:space="preserve">Smluvní strany se výslovně dohodly, že dodavatel má právo OPDT jednostranně měnit. V případě změny OPDT se dodavatel zavazuje oznámit znění změněných OPDT písemně odběrateli, a to nejpozději 1 měsíc před nabytím účinnosti změny OPDT. V oznámení musí být uveden den, kdy změna OPDT nabude účinnosti. Nové znění OPDT se dodavatel zavazuje oznámit odběrateli formou zaslání znění změněných OPDT poštou na adresu odběratele uvedenou ve smlouvě nebo na e-mail odběratele, je-li uveden ve smlouvě. Dodávka tepelné energie se ode dne nabytí účinnosti změny OPDT uskutečňuje v souladu s provedenou změnou OPDT. V případě, že odběratel se změnou OPDT nesouhlasí, je oprávněn změnu OPDT odmítnout a smlouvu vypovědět nejpozději 10 dnů před nabytím účinnosti změny OPDT. V takovém případě skončí smluvní vztah uplynutím </w:t>
      </w:r>
      <w:r w:rsidR="0039261E">
        <w:rPr>
          <w:rFonts w:ascii="Aptos" w:hAnsi="Aptos" w:cs="Times New Roman"/>
        </w:rPr>
        <w:t>12</w:t>
      </w:r>
      <w:r w:rsidRPr="00FC6912">
        <w:rPr>
          <w:rFonts w:ascii="Aptos" w:hAnsi="Aptos" w:cs="Times New Roman"/>
        </w:rPr>
        <w:t xml:space="preserve"> měsíců od nabytí účinnosti změněných OPDT s tím, že do uplynutí této doby se smluvní vztah řídí dosavadními OPDT.</w:t>
      </w:r>
    </w:p>
    <w:p w14:paraId="4C0C5B5A" w14:textId="77777777" w:rsidR="002004E2" w:rsidRDefault="002004E2" w:rsidP="00F86998">
      <w:pPr>
        <w:spacing w:after="60"/>
        <w:ind w:left="567"/>
        <w:jc w:val="both"/>
        <w:rPr>
          <w:rFonts w:ascii="Aptos" w:hAnsi="Aptos" w:cs="Times New Roman"/>
          <w:b/>
        </w:rPr>
      </w:pPr>
      <w:r w:rsidRPr="00FC6912">
        <w:rPr>
          <w:rFonts w:ascii="Aptos" w:hAnsi="Aptos" w:cs="Times New Roman"/>
          <w:bCs/>
        </w:rPr>
        <w:t>Dodavatel je oprávněn OPDT změnit z důvodu nutnosti jejich přizpůsobení platné právní úpravě, z důvodu optimalizace či potřeby upřesnění práv a povinností v rámci smluvního vztahu s odběratelem,</w:t>
      </w:r>
      <w:r w:rsidRPr="00FC6912">
        <w:rPr>
          <w:rFonts w:ascii="Aptos" w:hAnsi="Aptos" w:cs="Times New Roman"/>
          <w:b/>
        </w:rPr>
        <w:t xml:space="preserve"> </w:t>
      </w:r>
      <w:r w:rsidRPr="00FC6912">
        <w:rPr>
          <w:rFonts w:ascii="Aptos" w:hAnsi="Aptos" w:cs="Times New Roman"/>
          <w:bCs/>
        </w:rPr>
        <w:t xml:space="preserve">z důvodu změny podmínek při výrobě a dodávce tepelné energie, jakož i z důvodu změny podmínek na trhu s palivy, zejména na trhu s plynem a s biomasou.  </w:t>
      </w:r>
      <w:r w:rsidRPr="00FC6912">
        <w:rPr>
          <w:rFonts w:ascii="Aptos" w:hAnsi="Aptos" w:cs="Times New Roman"/>
          <w:b/>
        </w:rPr>
        <w:t xml:space="preserve"> </w:t>
      </w:r>
    </w:p>
    <w:p w14:paraId="13A1A6EC" w14:textId="1F98C40C" w:rsidR="00A30EFC" w:rsidRDefault="00A30EFC" w:rsidP="00F86998">
      <w:pPr>
        <w:spacing w:after="60"/>
        <w:ind w:left="567" w:hanging="567"/>
        <w:jc w:val="both"/>
        <w:rPr>
          <w:rFonts w:ascii="Aptos" w:hAnsi="Aptos" w:cs="Times New Roman"/>
        </w:rPr>
      </w:pPr>
      <w:r>
        <w:rPr>
          <w:rFonts w:ascii="Aptos" w:hAnsi="Aptos" w:cs="Times New Roman"/>
        </w:rPr>
        <w:t>7.</w:t>
      </w:r>
      <w:r w:rsidR="0071044E">
        <w:rPr>
          <w:rFonts w:ascii="Aptos" w:hAnsi="Aptos" w:cs="Times New Roman"/>
        </w:rPr>
        <w:t xml:space="preserve"> 5</w:t>
      </w:r>
      <w:r w:rsidR="0071044E">
        <w:rPr>
          <w:rFonts w:ascii="Aptos" w:hAnsi="Aptos" w:cs="Times New Roman"/>
        </w:rPr>
        <w:tab/>
      </w:r>
      <w:r w:rsidRPr="00A30EFC">
        <w:rPr>
          <w:rFonts w:ascii="Aptos" w:hAnsi="Aptos" w:cs="Times New Roman"/>
        </w:rPr>
        <w:t>V případě stavu nouze je dodavatel oprávněn uskutečňovat dodávky tepelné energie v souladu s aktuálním regulačním a havarijním plánem příslušné CZT.</w:t>
      </w:r>
    </w:p>
    <w:p w14:paraId="21B19596" w14:textId="77777777" w:rsidR="00AA635E" w:rsidRDefault="00AA635E" w:rsidP="00F86998">
      <w:pPr>
        <w:spacing w:after="60"/>
        <w:ind w:left="567" w:hanging="567"/>
        <w:jc w:val="both"/>
        <w:rPr>
          <w:rFonts w:ascii="Aptos" w:hAnsi="Aptos" w:cs="Times New Roman"/>
        </w:rPr>
      </w:pPr>
    </w:p>
    <w:p w14:paraId="7111878B" w14:textId="77777777" w:rsidR="002004E2" w:rsidRPr="00FC6912" w:rsidRDefault="002004E2" w:rsidP="00F86998">
      <w:pPr>
        <w:tabs>
          <w:tab w:val="left" w:pos="567"/>
        </w:tabs>
        <w:spacing w:before="360" w:after="120"/>
        <w:rPr>
          <w:rFonts w:ascii="Aptos" w:hAnsi="Aptos" w:cs="Times New Roman"/>
          <w:b/>
          <w:bCs/>
        </w:rPr>
      </w:pPr>
      <w:r w:rsidRPr="00FC6912">
        <w:rPr>
          <w:rFonts w:ascii="Aptos" w:hAnsi="Aptos" w:cs="Times New Roman"/>
          <w:b/>
          <w:bCs/>
        </w:rPr>
        <w:t>VIII.</w:t>
      </w:r>
      <w:r w:rsidRPr="00FC6912">
        <w:rPr>
          <w:rFonts w:ascii="Aptos" w:hAnsi="Aptos" w:cs="Times New Roman"/>
          <w:b/>
          <w:bCs/>
        </w:rPr>
        <w:tab/>
      </w:r>
      <w:r w:rsidRPr="00FC6912">
        <w:rPr>
          <w:rFonts w:ascii="Aptos" w:hAnsi="Aptos" w:cs="Times New Roman"/>
          <w:b/>
        </w:rPr>
        <w:t>Závěrečná ujednání</w:t>
      </w:r>
    </w:p>
    <w:p w14:paraId="4889E219" w14:textId="60F268D1" w:rsidR="002004E2" w:rsidRPr="00FC6912" w:rsidRDefault="002004E2" w:rsidP="00F86998">
      <w:pPr>
        <w:pStyle w:val="Odstavecseseznamem"/>
        <w:numPr>
          <w:ilvl w:val="1"/>
          <w:numId w:val="7"/>
        </w:numPr>
        <w:spacing w:after="60"/>
        <w:ind w:left="567" w:hanging="567"/>
        <w:contextualSpacing w:val="0"/>
        <w:jc w:val="both"/>
        <w:rPr>
          <w:rFonts w:ascii="Aptos" w:hAnsi="Aptos" w:cs="Times New Roman"/>
        </w:rPr>
      </w:pPr>
      <w:r w:rsidRPr="00FC6912">
        <w:rPr>
          <w:rFonts w:ascii="Aptos" w:hAnsi="Aptos" w:cs="Times New Roman"/>
        </w:rPr>
        <w:t>Nedílnou součástí této smlouvy jsou následující přílohy:</w:t>
      </w:r>
    </w:p>
    <w:p w14:paraId="6CB3A3A2" w14:textId="77777777" w:rsidR="002004E2" w:rsidRPr="00FC6912" w:rsidRDefault="002004E2" w:rsidP="00AC3223">
      <w:pPr>
        <w:pStyle w:val="Odstavecseseznamem"/>
        <w:numPr>
          <w:ilvl w:val="0"/>
          <w:numId w:val="6"/>
        </w:numPr>
        <w:spacing w:after="120"/>
        <w:contextualSpacing w:val="0"/>
        <w:jc w:val="both"/>
        <w:rPr>
          <w:rFonts w:ascii="Aptos" w:hAnsi="Aptos" w:cs="Times New Roman"/>
        </w:rPr>
      </w:pPr>
      <w:r w:rsidRPr="00FC6912">
        <w:rPr>
          <w:rFonts w:ascii="Aptos" w:hAnsi="Aptos" w:cs="Times New Roman"/>
        </w:rPr>
        <w:lastRenderedPageBreak/>
        <w:t xml:space="preserve">Příloha č. 1: Specifikace odběrného místa, množství tepelné energie, teplonosná látka a její parametry, údaje o měřidlu. </w:t>
      </w:r>
    </w:p>
    <w:p w14:paraId="429973CA" w14:textId="77777777" w:rsidR="002004E2" w:rsidRPr="00FC6912" w:rsidRDefault="002004E2" w:rsidP="009E1DEE">
      <w:pPr>
        <w:pStyle w:val="Odstavecseseznamem"/>
        <w:numPr>
          <w:ilvl w:val="0"/>
          <w:numId w:val="6"/>
        </w:numPr>
        <w:spacing w:after="120"/>
        <w:contextualSpacing w:val="0"/>
        <w:jc w:val="both"/>
        <w:rPr>
          <w:rFonts w:ascii="Aptos" w:hAnsi="Aptos" w:cs="Times New Roman"/>
        </w:rPr>
      </w:pPr>
      <w:r w:rsidRPr="00FC6912">
        <w:rPr>
          <w:rFonts w:ascii="Aptos" w:hAnsi="Aptos" w:cs="Times New Roman"/>
        </w:rPr>
        <w:t>Příloha č. 2: Obchodní podmínky dodávky tepelné energie (OPDT).</w:t>
      </w:r>
    </w:p>
    <w:p w14:paraId="13FBE2A1" w14:textId="6E4C5002" w:rsidR="002004E2" w:rsidRPr="00FC6912" w:rsidRDefault="002004E2" w:rsidP="00F86998">
      <w:pPr>
        <w:pStyle w:val="Odstavecseseznamem"/>
        <w:numPr>
          <w:ilvl w:val="1"/>
          <w:numId w:val="7"/>
        </w:numPr>
        <w:spacing w:after="60"/>
        <w:ind w:left="567" w:hanging="567"/>
        <w:contextualSpacing w:val="0"/>
        <w:jc w:val="both"/>
        <w:rPr>
          <w:rFonts w:ascii="Aptos" w:hAnsi="Aptos" w:cs="Times New Roman"/>
        </w:rPr>
      </w:pPr>
      <w:r w:rsidRPr="00FC6912">
        <w:rPr>
          <w:rFonts w:ascii="Aptos" w:hAnsi="Aptos" w:cs="Times New Roman"/>
        </w:rPr>
        <w:t>Smlouva nabývá platnosti a účinnosti dnem jejího podpisu oběma smluvními stranami.</w:t>
      </w:r>
    </w:p>
    <w:p w14:paraId="4131F096" w14:textId="2F5E77DB" w:rsidR="002004E2" w:rsidRPr="00FC6912" w:rsidRDefault="002004E2" w:rsidP="00F86998">
      <w:pPr>
        <w:pStyle w:val="Odstavecseseznamem"/>
        <w:numPr>
          <w:ilvl w:val="1"/>
          <w:numId w:val="7"/>
        </w:numPr>
        <w:spacing w:after="60"/>
        <w:ind w:left="567" w:hanging="567"/>
        <w:contextualSpacing w:val="0"/>
        <w:jc w:val="both"/>
        <w:rPr>
          <w:rFonts w:ascii="Aptos" w:hAnsi="Aptos" w:cs="Times New Roman"/>
        </w:rPr>
      </w:pPr>
      <w:r w:rsidRPr="00FC6912">
        <w:rPr>
          <w:rFonts w:ascii="Aptos" w:hAnsi="Aptos" w:cs="Times New Roman"/>
        </w:rPr>
        <w:t xml:space="preserve">Smlouva se vyhotovuje ve </w:t>
      </w:r>
      <w:r w:rsidR="005C78E9">
        <w:rPr>
          <w:rFonts w:ascii="Aptos" w:hAnsi="Aptos" w:cs="Times New Roman"/>
        </w:rPr>
        <w:t>třech</w:t>
      </w:r>
      <w:r w:rsidRPr="00FC6912">
        <w:rPr>
          <w:rFonts w:ascii="Aptos" w:hAnsi="Aptos" w:cs="Times New Roman"/>
        </w:rPr>
        <w:t xml:space="preserve"> stejnopisech s platností originálu, z nichž </w:t>
      </w:r>
      <w:r w:rsidR="005C78E9">
        <w:rPr>
          <w:rFonts w:ascii="Aptos" w:hAnsi="Aptos" w:cs="Times New Roman"/>
        </w:rPr>
        <w:t>dva</w:t>
      </w:r>
      <w:r w:rsidRPr="00FC6912">
        <w:rPr>
          <w:rFonts w:ascii="Aptos" w:hAnsi="Aptos" w:cs="Times New Roman"/>
        </w:rPr>
        <w:t xml:space="preserve"> obdrží odběratel a jeden dodavatel.</w:t>
      </w:r>
    </w:p>
    <w:p w14:paraId="33E789E1" w14:textId="77777777" w:rsidR="002004E2" w:rsidRPr="00FC6912" w:rsidRDefault="002004E2" w:rsidP="00F86998">
      <w:pPr>
        <w:pStyle w:val="Odstavecseseznamem"/>
        <w:numPr>
          <w:ilvl w:val="1"/>
          <w:numId w:val="7"/>
        </w:numPr>
        <w:spacing w:after="60"/>
        <w:ind w:left="567" w:hanging="567"/>
        <w:contextualSpacing w:val="0"/>
        <w:jc w:val="both"/>
        <w:rPr>
          <w:rFonts w:ascii="Aptos" w:hAnsi="Aptos" w:cs="Times New Roman"/>
        </w:rPr>
      </w:pPr>
      <w:r w:rsidRPr="00FC6912">
        <w:rPr>
          <w:rFonts w:ascii="Aptos" w:hAnsi="Aptos" w:cs="Times New Roman"/>
        </w:rPr>
        <w:t>V případě rozporu mezi ustanoveními smlouvy a ustanoveními OPDT, mají přednost ustanovení této smlouvy.</w:t>
      </w:r>
    </w:p>
    <w:p w14:paraId="54A138FB" w14:textId="06178CF1" w:rsidR="002004E2" w:rsidRPr="00FC6912" w:rsidRDefault="002004E2" w:rsidP="00F86998">
      <w:pPr>
        <w:pStyle w:val="Odstavecseseznamem"/>
        <w:numPr>
          <w:ilvl w:val="1"/>
          <w:numId w:val="7"/>
        </w:numPr>
        <w:spacing w:after="60"/>
        <w:ind w:left="567" w:hanging="567"/>
        <w:contextualSpacing w:val="0"/>
        <w:jc w:val="both"/>
        <w:rPr>
          <w:rFonts w:ascii="Aptos" w:hAnsi="Aptos" w:cs="Times New Roman"/>
        </w:rPr>
      </w:pPr>
      <w:r w:rsidRPr="00FC6912">
        <w:rPr>
          <w:rFonts w:ascii="Aptos" w:hAnsi="Aptos" w:cs="Times New Roman"/>
        </w:rPr>
        <w:t>Uzavřením této smlouvy oběma smluvními stranami končí platnost stávající smlouvy o dodávkách tepelné energie uzavřené mezi odběratelem a dodavatelem SATT a.s.,</w:t>
      </w:r>
      <w:r w:rsidR="009B1D68">
        <w:rPr>
          <w:rFonts w:ascii="Aptos" w:hAnsi="Aptos" w:cs="Times New Roman"/>
        </w:rPr>
        <w:t xml:space="preserve"> </w:t>
      </w:r>
      <w:r w:rsidRPr="00FC6912">
        <w:rPr>
          <w:rFonts w:ascii="Aptos" w:hAnsi="Aptos" w:cs="Times New Roman"/>
        </w:rPr>
        <w:t>č. 8405041909.</w:t>
      </w:r>
    </w:p>
    <w:p w14:paraId="4813D085" w14:textId="77777777" w:rsidR="002004E2" w:rsidRPr="00FC6912" w:rsidRDefault="002004E2" w:rsidP="00F86998">
      <w:pPr>
        <w:pStyle w:val="Odstavecseseznamem"/>
        <w:numPr>
          <w:ilvl w:val="1"/>
          <w:numId w:val="7"/>
        </w:numPr>
        <w:spacing w:after="60"/>
        <w:ind w:left="567" w:hanging="567"/>
        <w:contextualSpacing w:val="0"/>
        <w:jc w:val="both"/>
        <w:rPr>
          <w:rFonts w:ascii="Aptos" w:hAnsi="Aptos" w:cs="Times New Roman"/>
        </w:rPr>
      </w:pPr>
      <w:r w:rsidRPr="00FC6912">
        <w:rPr>
          <w:rFonts w:ascii="Aptos" w:hAnsi="Aptos" w:cs="Times New Roman"/>
        </w:rPr>
        <w:t>Odběratel prohlašuje, že se s obsahem smlouvy, včetně OPDT a jejích dalších příloh důkladně seznámil, rozumí jejich obsahu a vyjadřuje s těmito dokumenty souhlas, který stvrzuje svým podpisem.</w:t>
      </w:r>
    </w:p>
    <w:p w14:paraId="1624A793" w14:textId="77777777" w:rsidR="000D5B93" w:rsidRPr="00FC6912" w:rsidRDefault="000D5B93" w:rsidP="00AC3223">
      <w:pPr>
        <w:rPr>
          <w:rFonts w:ascii="Aptos" w:hAnsi="Aptos" w:cs="Times New Roman"/>
        </w:rPr>
      </w:pPr>
    </w:p>
    <w:p w14:paraId="1384FB28" w14:textId="3CB066C0" w:rsidR="002004E2" w:rsidRPr="00FC6912" w:rsidRDefault="002004E2" w:rsidP="00AC3223">
      <w:pPr>
        <w:rPr>
          <w:rFonts w:ascii="Aptos" w:hAnsi="Aptos" w:cs="Times New Roman"/>
        </w:rPr>
      </w:pPr>
      <w:r w:rsidRPr="2D23EB25">
        <w:rPr>
          <w:rFonts w:ascii="Aptos" w:hAnsi="Aptos" w:cs="Times New Roman"/>
        </w:rPr>
        <w:t>V</w:t>
      </w:r>
      <w:r w:rsidR="00746A38" w:rsidRPr="2D23EB25">
        <w:rPr>
          <w:rFonts w:ascii="Aptos" w:hAnsi="Aptos" w:cs="Times New Roman"/>
        </w:rPr>
        <w:t> Českých Budějovicích</w:t>
      </w:r>
      <w:r w:rsidRPr="2D23EB25">
        <w:rPr>
          <w:rFonts w:ascii="Aptos" w:hAnsi="Aptos" w:cs="Times New Roman"/>
        </w:rPr>
        <w:t xml:space="preserve"> dne ………………</w:t>
      </w:r>
      <w:r>
        <w:tab/>
      </w:r>
      <w:r>
        <w:tab/>
      </w:r>
      <w:r w:rsidRPr="2D23EB25">
        <w:rPr>
          <w:rFonts w:ascii="Aptos" w:hAnsi="Aptos" w:cs="Times New Roman"/>
        </w:rPr>
        <w:t>V</w:t>
      </w:r>
      <w:r w:rsidR="00F379D9">
        <w:rPr>
          <w:rFonts w:ascii="Aptos" w:hAnsi="Aptos" w:cs="Times New Roman"/>
        </w:rPr>
        <w:t>e Velkém Meziříčí</w:t>
      </w:r>
      <w:r w:rsidRPr="2D23EB25">
        <w:rPr>
          <w:rFonts w:ascii="Aptos" w:hAnsi="Aptos" w:cs="Times New Roman"/>
        </w:rPr>
        <w:t xml:space="preserve"> dne ………………</w:t>
      </w:r>
    </w:p>
    <w:p w14:paraId="3D402BA3" w14:textId="245FD8B1" w:rsidR="002004E2" w:rsidRPr="00FC6912" w:rsidRDefault="002004E2" w:rsidP="00AC3223">
      <w:pPr>
        <w:rPr>
          <w:rFonts w:ascii="Aptos" w:hAnsi="Aptos" w:cs="Times New Roman"/>
        </w:rPr>
      </w:pPr>
      <w:r w:rsidRPr="2D23EB25">
        <w:rPr>
          <w:rFonts w:ascii="Aptos" w:hAnsi="Aptos" w:cs="Times New Roman"/>
        </w:rPr>
        <w:t>Za dodavatele:</w:t>
      </w:r>
      <w:r w:rsidR="0071044E">
        <w:rPr>
          <w:rFonts w:ascii="Aptos" w:hAnsi="Aptos" w:cs="Times New Roman"/>
        </w:rPr>
        <w:t xml:space="preserve"> </w:t>
      </w:r>
      <w:r w:rsidR="0071044E" w:rsidRPr="00FC6912">
        <w:rPr>
          <w:rFonts w:ascii="Aptos" w:hAnsi="Aptos" w:cs="Times New Roman"/>
        </w:rPr>
        <w:t>E.ON Energy Solutions, s.r.o.</w:t>
      </w:r>
      <w:r w:rsidR="0071044E">
        <w:rPr>
          <w:rFonts w:ascii="Aptos" w:hAnsi="Aptos" w:cs="Times New Roman"/>
        </w:rPr>
        <w:t xml:space="preserve"> </w:t>
      </w:r>
      <w:r w:rsidR="0071044E">
        <w:rPr>
          <w:rFonts w:ascii="Aptos" w:hAnsi="Aptos" w:cs="Times New Roman"/>
        </w:rPr>
        <w:tab/>
      </w:r>
      <w:r w:rsidRPr="2D23EB25">
        <w:rPr>
          <w:rFonts w:ascii="Aptos" w:hAnsi="Aptos" w:cs="Times New Roman"/>
        </w:rPr>
        <w:t>Za odběratele:</w:t>
      </w:r>
      <w:r w:rsidR="0071044E">
        <w:rPr>
          <w:rFonts w:ascii="Aptos" w:hAnsi="Aptos" w:cs="Times New Roman"/>
        </w:rPr>
        <w:t xml:space="preserve"> Město Velké Meziříčí</w:t>
      </w:r>
    </w:p>
    <w:p w14:paraId="32D0F199" w14:textId="77777777" w:rsidR="004E7D2F" w:rsidRDefault="004E7D2F" w:rsidP="00AC3223">
      <w:pPr>
        <w:rPr>
          <w:rFonts w:ascii="Aptos" w:hAnsi="Aptos" w:cs="Times New Roman"/>
        </w:rPr>
      </w:pPr>
    </w:p>
    <w:p w14:paraId="038ED767" w14:textId="77777777" w:rsidR="00F86998" w:rsidRPr="00FC6912" w:rsidRDefault="00F86998" w:rsidP="00AC3223">
      <w:pPr>
        <w:rPr>
          <w:rFonts w:ascii="Aptos" w:hAnsi="Aptos" w:cs="Times New Roman"/>
        </w:rPr>
      </w:pPr>
    </w:p>
    <w:p w14:paraId="7C8897DB" w14:textId="52DB267B" w:rsidR="5A146F96" w:rsidRDefault="5A146F96" w:rsidP="00F225AF">
      <w:pPr>
        <w:spacing w:after="0" w:line="280" w:lineRule="exact"/>
        <w:rPr>
          <w:rFonts w:ascii="Aptos" w:eastAsia="Aptos" w:hAnsi="Aptos" w:cs="Aptos"/>
          <w:color w:val="000000" w:themeColor="text1"/>
        </w:rPr>
      </w:pPr>
      <w:r w:rsidRPr="585A4135">
        <w:rPr>
          <w:rFonts w:ascii="Aptos" w:eastAsia="Aptos" w:hAnsi="Aptos" w:cs="Aptos"/>
          <w:color w:val="000000" w:themeColor="text1"/>
        </w:rPr>
        <w:t>………………………………………….</w:t>
      </w:r>
      <w:r>
        <w:tab/>
      </w:r>
      <w:r>
        <w:tab/>
      </w:r>
      <w:r>
        <w:tab/>
      </w:r>
      <w:r w:rsidRPr="585A4135">
        <w:rPr>
          <w:rFonts w:ascii="Aptos" w:eastAsia="Aptos" w:hAnsi="Aptos" w:cs="Aptos"/>
          <w:color w:val="000000" w:themeColor="text1"/>
        </w:rPr>
        <w:t>………………………………………….</w:t>
      </w:r>
    </w:p>
    <w:p w14:paraId="47F3B77A" w14:textId="25EDFC92" w:rsidR="5A146F96" w:rsidRDefault="001F6B15" w:rsidP="585A4135">
      <w:pPr>
        <w:spacing w:after="0" w:line="240" w:lineRule="auto"/>
        <w:rPr>
          <w:rFonts w:ascii="Aptos" w:eastAsia="Aptos" w:hAnsi="Aptos" w:cs="Aptos"/>
          <w:color w:val="000000" w:themeColor="text1"/>
        </w:rPr>
      </w:pPr>
      <w:r>
        <w:rPr>
          <w:rFonts w:ascii="Aptos" w:eastAsia="Aptos" w:hAnsi="Aptos" w:cs="Aptos"/>
          <w:color w:val="000000" w:themeColor="text1"/>
        </w:rPr>
        <w:t>xxx</w:t>
      </w:r>
      <w:r w:rsidR="5A146F96">
        <w:tab/>
      </w:r>
      <w:r w:rsidR="5A146F96">
        <w:tab/>
      </w:r>
      <w:r w:rsidR="5A146F96">
        <w:tab/>
      </w:r>
      <w:r w:rsidR="5A146F96">
        <w:tab/>
      </w:r>
      <w:r>
        <w:t xml:space="preserve">                        </w:t>
      </w:r>
      <w:r w:rsidR="5A146F96" w:rsidRPr="585A4135">
        <w:rPr>
          <w:rFonts w:ascii="Aptos" w:eastAsia="Aptos" w:hAnsi="Aptos" w:cs="Aptos"/>
          <w:color w:val="000000" w:themeColor="text1"/>
        </w:rPr>
        <w:t>Ing. Arch. Alexandros Kaminaras</w:t>
      </w:r>
    </w:p>
    <w:p w14:paraId="1BDE3B41" w14:textId="7E3DDA55" w:rsidR="5A146F96" w:rsidRDefault="001F6B15" w:rsidP="585A4135">
      <w:pPr>
        <w:spacing w:after="0" w:line="240" w:lineRule="auto"/>
        <w:rPr>
          <w:rFonts w:ascii="Aptos" w:eastAsia="Aptos" w:hAnsi="Aptos" w:cs="Aptos"/>
          <w:color w:val="000000" w:themeColor="text1"/>
        </w:rPr>
      </w:pPr>
      <w:r>
        <w:rPr>
          <w:rFonts w:ascii="Aptos" w:eastAsia="Aptos" w:hAnsi="Aptos" w:cs="Aptos"/>
          <w:color w:val="000000" w:themeColor="text1"/>
        </w:rPr>
        <w:t>xxx</w:t>
      </w:r>
      <w:r w:rsidR="5A146F96">
        <w:tab/>
      </w:r>
      <w:r w:rsidR="5A146F96">
        <w:tab/>
      </w:r>
      <w:r w:rsidR="5A146F96">
        <w:tab/>
      </w:r>
      <w:r>
        <w:t xml:space="preserve">                                              </w:t>
      </w:r>
      <w:r w:rsidR="5A146F96" w:rsidRPr="585A4135">
        <w:rPr>
          <w:rFonts w:ascii="Aptos" w:eastAsia="Aptos" w:hAnsi="Aptos" w:cs="Aptos"/>
          <w:color w:val="000000" w:themeColor="text1"/>
        </w:rPr>
        <w:t>starosta</w:t>
      </w:r>
    </w:p>
    <w:p w14:paraId="4D3DFAE7" w14:textId="5A0B85BB" w:rsidR="5A146F96" w:rsidRDefault="5A146F96" w:rsidP="585A4135">
      <w:pPr>
        <w:spacing w:after="0" w:line="240" w:lineRule="auto"/>
        <w:rPr>
          <w:rFonts w:ascii="Aptos" w:eastAsia="Aptos" w:hAnsi="Aptos" w:cs="Aptos"/>
          <w:color w:val="000000" w:themeColor="text1"/>
        </w:rPr>
      </w:pPr>
      <w:r w:rsidRPr="585A4135">
        <w:rPr>
          <w:rFonts w:ascii="Aptos" w:eastAsia="Aptos" w:hAnsi="Aptos" w:cs="Aptos"/>
          <w:color w:val="000000" w:themeColor="text1"/>
        </w:rPr>
        <w:t>v plné moci</w:t>
      </w:r>
    </w:p>
    <w:p w14:paraId="19BEF489" w14:textId="46DDDEF2" w:rsidR="585A4135" w:rsidRDefault="585A4135" w:rsidP="585A4135">
      <w:pPr>
        <w:spacing w:after="0" w:line="240" w:lineRule="auto"/>
        <w:rPr>
          <w:rFonts w:ascii="Aptos" w:eastAsia="Aptos" w:hAnsi="Aptos" w:cs="Aptos"/>
          <w:color w:val="000000" w:themeColor="text1"/>
        </w:rPr>
      </w:pPr>
    </w:p>
    <w:p w14:paraId="072EEE19" w14:textId="23E253E2" w:rsidR="585A4135" w:rsidRDefault="585A4135" w:rsidP="585A4135">
      <w:pPr>
        <w:spacing w:after="0" w:line="240" w:lineRule="auto"/>
        <w:rPr>
          <w:rFonts w:ascii="Aptos" w:eastAsia="Aptos" w:hAnsi="Aptos" w:cs="Aptos"/>
          <w:color w:val="000000" w:themeColor="text1"/>
        </w:rPr>
      </w:pPr>
    </w:p>
    <w:p w14:paraId="0023EFC0" w14:textId="77777777" w:rsidR="00F86998" w:rsidRDefault="00F86998" w:rsidP="585A4135">
      <w:pPr>
        <w:spacing w:after="0" w:line="240" w:lineRule="auto"/>
        <w:rPr>
          <w:rFonts w:ascii="Aptos" w:eastAsia="Aptos" w:hAnsi="Aptos" w:cs="Aptos"/>
          <w:color w:val="000000" w:themeColor="text1"/>
        </w:rPr>
      </w:pPr>
    </w:p>
    <w:p w14:paraId="6EB0614D" w14:textId="77777777" w:rsidR="00F86998" w:rsidRDefault="00F86998" w:rsidP="585A4135">
      <w:pPr>
        <w:spacing w:after="0" w:line="240" w:lineRule="auto"/>
        <w:rPr>
          <w:rFonts w:ascii="Aptos" w:eastAsia="Aptos" w:hAnsi="Aptos" w:cs="Aptos"/>
          <w:color w:val="000000" w:themeColor="text1"/>
        </w:rPr>
      </w:pPr>
    </w:p>
    <w:p w14:paraId="11C00074" w14:textId="2652F3E7" w:rsidR="5A146F96" w:rsidRDefault="5A146F96" w:rsidP="00F225AF">
      <w:pPr>
        <w:spacing w:after="0" w:line="280" w:lineRule="exact"/>
        <w:rPr>
          <w:rFonts w:ascii="Aptos" w:eastAsia="Aptos" w:hAnsi="Aptos" w:cs="Aptos"/>
          <w:color w:val="000000" w:themeColor="text1"/>
        </w:rPr>
      </w:pPr>
      <w:r w:rsidRPr="585A4135">
        <w:rPr>
          <w:rFonts w:ascii="Aptos" w:eastAsia="Aptos" w:hAnsi="Aptos" w:cs="Aptos"/>
          <w:color w:val="000000" w:themeColor="text1"/>
        </w:rPr>
        <w:t>………………………………………….</w:t>
      </w:r>
      <w:r>
        <w:tab/>
      </w:r>
      <w:r>
        <w:tab/>
      </w:r>
      <w:r>
        <w:tab/>
      </w:r>
    </w:p>
    <w:p w14:paraId="4826FAFE" w14:textId="6449B076" w:rsidR="5A146F96" w:rsidRDefault="001F6B15" w:rsidP="585A4135">
      <w:pPr>
        <w:spacing w:after="0" w:line="240" w:lineRule="auto"/>
        <w:rPr>
          <w:rFonts w:ascii="Aptos" w:eastAsia="Aptos" w:hAnsi="Aptos" w:cs="Aptos"/>
          <w:color w:val="000000" w:themeColor="text1"/>
        </w:rPr>
      </w:pPr>
      <w:r>
        <w:rPr>
          <w:rFonts w:ascii="Aptos" w:eastAsia="Aptos" w:hAnsi="Aptos" w:cs="Aptos"/>
          <w:color w:val="000000" w:themeColor="text1"/>
        </w:rPr>
        <w:t>xxx</w:t>
      </w:r>
    </w:p>
    <w:p w14:paraId="56E97D75" w14:textId="201BD8FB" w:rsidR="5A146F96" w:rsidRDefault="001F6B15" w:rsidP="585A4135">
      <w:pPr>
        <w:spacing w:after="0" w:line="240" w:lineRule="auto"/>
        <w:rPr>
          <w:rFonts w:ascii="Aptos" w:eastAsia="Aptos" w:hAnsi="Aptos" w:cs="Aptos"/>
          <w:color w:val="000000" w:themeColor="text1"/>
        </w:rPr>
      </w:pPr>
      <w:r>
        <w:rPr>
          <w:rFonts w:ascii="Aptos" w:eastAsia="Aptos" w:hAnsi="Aptos" w:cs="Aptos"/>
          <w:color w:val="000000" w:themeColor="text1"/>
        </w:rPr>
        <w:t>xxx</w:t>
      </w:r>
    </w:p>
    <w:p w14:paraId="32BC586A" w14:textId="2A4878A3" w:rsidR="585A4135" w:rsidRPr="00D2167B" w:rsidRDefault="5A146F96" w:rsidP="00D2167B">
      <w:pPr>
        <w:spacing w:after="0" w:line="240" w:lineRule="auto"/>
        <w:rPr>
          <w:rFonts w:ascii="Aptos" w:eastAsia="Aptos" w:hAnsi="Aptos" w:cs="Aptos"/>
          <w:color w:val="000000" w:themeColor="text1"/>
        </w:rPr>
      </w:pPr>
      <w:r w:rsidRPr="585A4135">
        <w:rPr>
          <w:rFonts w:ascii="Aptos" w:eastAsia="Aptos" w:hAnsi="Aptos" w:cs="Aptos"/>
          <w:color w:val="000000" w:themeColor="text1"/>
        </w:rPr>
        <w:t>v plné moci</w:t>
      </w:r>
    </w:p>
    <w:sectPr w:rsidR="585A4135" w:rsidRPr="00D2167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B452" w14:textId="77777777" w:rsidR="00AC186D" w:rsidRDefault="00AC186D" w:rsidP="00F86998">
      <w:pPr>
        <w:spacing w:after="0" w:line="240" w:lineRule="auto"/>
      </w:pPr>
      <w:r>
        <w:separator/>
      </w:r>
    </w:p>
  </w:endnote>
  <w:endnote w:type="continuationSeparator" w:id="0">
    <w:p w14:paraId="500F361F" w14:textId="77777777" w:rsidR="00AC186D" w:rsidRDefault="00AC186D" w:rsidP="00F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kern w:val="2"/>
        <w:szCs w:val="24"/>
        <w:lang w:eastAsia="en-US"/>
        <w14:ligatures w14:val="standardContextual"/>
      </w:rPr>
      <w:id w:val="654102982"/>
      <w:docPartObj>
        <w:docPartGallery w:val="Page Numbers (Bottom of Page)"/>
        <w:docPartUnique/>
      </w:docPartObj>
    </w:sdtPr>
    <w:sdtEndPr/>
    <w:sdtContent>
      <w:p w14:paraId="3DEA61E1" w14:textId="77777777" w:rsidR="00F86998" w:rsidRPr="00962E27" w:rsidRDefault="00F86998" w:rsidP="00F86998">
        <w:pPr>
          <w:pStyle w:val="Bezmezer"/>
          <w:pBdr>
            <w:top w:val="single" w:sz="4" w:space="1" w:color="auto"/>
          </w:pBdr>
          <w:jc w:val="center"/>
          <w:rPr>
            <w:sz w:val="2"/>
            <w:szCs w:val="2"/>
          </w:rPr>
        </w:pPr>
        <w:r w:rsidRPr="00091082">
          <w:rPr>
            <w:rFonts w:ascii="Calibri" w:hAnsi="Calibri"/>
            <w:sz w:val="18"/>
            <w:szCs w:val="18"/>
          </w:rPr>
          <w:fldChar w:fldCharType="begin"/>
        </w:r>
        <w:r w:rsidRPr="00091082">
          <w:rPr>
            <w:rFonts w:ascii="Calibri" w:hAnsi="Calibri"/>
            <w:sz w:val="18"/>
            <w:szCs w:val="18"/>
          </w:rPr>
          <w:instrText xml:space="preserve"> PAGE </w:instrText>
        </w:r>
        <w:r w:rsidRPr="00091082">
          <w:rPr>
            <w:rFonts w:ascii="Calibri" w:hAnsi="Calibri"/>
            <w:sz w:val="18"/>
            <w:szCs w:val="18"/>
          </w:rPr>
          <w:fldChar w:fldCharType="separate"/>
        </w:r>
        <w:r>
          <w:rPr>
            <w:rFonts w:ascii="Calibri" w:hAnsi="Calibri"/>
            <w:sz w:val="18"/>
            <w:szCs w:val="18"/>
          </w:rPr>
          <w:t>1</w:t>
        </w:r>
        <w:r w:rsidRPr="00091082">
          <w:rPr>
            <w:rFonts w:ascii="Calibri" w:hAnsi="Calibri"/>
            <w:sz w:val="18"/>
            <w:szCs w:val="18"/>
          </w:rPr>
          <w:fldChar w:fldCharType="end"/>
        </w:r>
        <w:r w:rsidRPr="00091082">
          <w:rPr>
            <w:rFonts w:ascii="Calibri" w:hAnsi="Calibri"/>
            <w:sz w:val="18"/>
            <w:szCs w:val="18"/>
          </w:rPr>
          <w:t>/</w:t>
        </w:r>
        <w:r w:rsidRPr="00091082">
          <w:rPr>
            <w:rFonts w:ascii="Calibri" w:hAnsi="Calibri"/>
            <w:sz w:val="18"/>
            <w:szCs w:val="18"/>
          </w:rPr>
          <w:fldChar w:fldCharType="begin"/>
        </w:r>
        <w:r w:rsidRPr="00091082">
          <w:rPr>
            <w:rFonts w:ascii="Calibri" w:hAnsi="Calibri"/>
            <w:sz w:val="18"/>
            <w:szCs w:val="18"/>
          </w:rPr>
          <w:instrText xml:space="preserve"> NUMPAGES </w:instrText>
        </w:r>
        <w:r w:rsidRPr="00091082">
          <w:rPr>
            <w:rFonts w:ascii="Calibri" w:hAnsi="Calibri"/>
            <w:sz w:val="18"/>
            <w:szCs w:val="18"/>
          </w:rPr>
          <w:fldChar w:fldCharType="separate"/>
        </w:r>
        <w:r>
          <w:rPr>
            <w:rFonts w:ascii="Calibri" w:hAnsi="Calibri"/>
            <w:sz w:val="18"/>
            <w:szCs w:val="18"/>
          </w:rPr>
          <w:t>6</w:t>
        </w:r>
        <w:r w:rsidRPr="00091082">
          <w:rPr>
            <w:rFonts w:ascii="Calibri" w:hAnsi="Calibri"/>
            <w:sz w:val="18"/>
            <w:szCs w:val="18"/>
          </w:rPr>
          <w:fldChar w:fldCharType="end"/>
        </w:r>
      </w:p>
      <w:p w14:paraId="63B9DBC3" w14:textId="77777777" w:rsidR="00F86998" w:rsidRDefault="00AC186D" w:rsidP="00F86998">
        <w:pPr>
          <w:pStyle w:val="Zpat"/>
          <w:jc w:val="center"/>
        </w:pPr>
      </w:p>
    </w:sdtContent>
  </w:sdt>
  <w:p w14:paraId="1A4EF490" w14:textId="77777777" w:rsidR="00F86998" w:rsidRDefault="00F869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7365" w14:textId="77777777" w:rsidR="00AC186D" w:rsidRDefault="00AC186D" w:rsidP="00F86998">
      <w:pPr>
        <w:spacing w:after="0" w:line="240" w:lineRule="auto"/>
      </w:pPr>
      <w:r>
        <w:separator/>
      </w:r>
    </w:p>
  </w:footnote>
  <w:footnote w:type="continuationSeparator" w:id="0">
    <w:p w14:paraId="6F04DB76" w14:textId="77777777" w:rsidR="00AC186D" w:rsidRDefault="00AC186D" w:rsidP="00F8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8FE7" w14:textId="54E46640" w:rsidR="00F86998" w:rsidRPr="00901B02" w:rsidRDefault="00F86998" w:rsidP="00F86998">
    <w:pPr>
      <w:pStyle w:val="Zhlav"/>
      <w:pBdr>
        <w:bottom w:val="single" w:sz="4" w:space="1" w:color="auto"/>
      </w:pBdr>
      <w:jc w:val="center"/>
      <w:rPr>
        <w:rFonts w:ascii="Aptos" w:hAnsi="Aptos"/>
        <w:sz w:val="20"/>
      </w:rPr>
    </w:pPr>
    <w:r w:rsidRPr="00901B02">
      <w:rPr>
        <w:rFonts w:ascii="Aptos" w:hAnsi="Aptos"/>
        <w:sz w:val="20"/>
      </w:rPr>
      <w:t>2024/SoDTE/01/Město Velké Meziříčí_0</w:t>
    </w:r>
    <w:r w:rsidR="00D77085">
      <w:rPr>
        <w:rFonts w:ascii="Aptos" w:hAnsi="Aptos"/>
        <w:sz w:val="20"/>
      </w:rPr>
      <w:t>1</w:t>
    </w:r>
  </w:p>
  <w:p w14:paraId="23FB5357" w14:textId="77777777" w:rsidR="00F86998" w:rsidRDefault="00F86998" w:rsidP="00F8699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CA1"/>
    <w:multiLevelType w:val="hybridMultilevel"/>
    <w:tmpl w:val="B6F8F610"/>
    <w:lvl w:ilvl="0" w:tplc="FC0AD912">
      <w:start w:val="1"/>
      <w:numFmt w:val="decimal"/>
      <w:lvlText w:val="1.%1"/>
      <w:lvlJc w:val="left"/>
      <w:pPr>
        <w:tabs>
          <w:tab w:val="num" w:pos="360"/>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2B0584"/>
    <w:multiLevelType w:val="hybridMultilevel"/>
    <w:tmpl w:val="33161E1C"/>
    <w:lvl w:ilvl="0" w:tplc="E25A4BA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945FBD"/>
    <w:multiLevelType w:val="multilevel"/>
    <w:tmpl w:val="1DA0C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A4B7C"/>
    <w:multiLevelType w:val="multilevel"/>
    <w:tmpl w:val="5224C0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C316D"/>
    <w:multiLevelType w:val="hybridMultilevel"/>
    <w:tmpl w:val="BAF26C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2D621B4"/>
    <w:multiLevelType w:val="multilevel"/>
    <w:tmpl w:val="73E6ACCA"/>
    <w:lvl w:ilvl="0">
      <w:start w:val="6"/>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5CCE216C"/>
    <w:multiLevelType w:val="multilevel"/>
    <w:tmpl w:val="CBAE8C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9D707E"/>
    <w:multiLevelType w:val="hybridMultilevel"/>
    <w:tmpl w:val="4F9A557A"/>
    <w:lvl w:ilvl="0" w:tplc="E8B6410A">
      <w:start w:val="1"/>
      <w:numFmt w:val="decimal"/>
      <w:lvlText w:val="2.%1"/>
      <w:lvlJc w:val="left"/>
      <w:pPr>
        <w:tabs>
          <w:tab w:val="num" w:pos="360"/>
        </w:tabs>
        <w:ind w:left="284" w:hanging="284"/>
      </w:pPr>
      <w:rPr>
        <w:rFonts w:hint="default"/>
        <w:b w:val="0"/>
        <w:bCs w:val="0"/>
      </w:rPr>
    </w:lvl>
    <w:lvl w:ilvl="1" w:tplc="D5A258E2">
      <w:start w:val="1"/>
      <w:numFmt w:val="decimal"/>
      <w:lvlText w:val="3.%2"/>
      <w:lvlJc w:val="left"/>
      <w:pPr>
        <w:tabs>
          <w:tab w:val="num" w:pos="1440"/>
        </w:tabs>
        <w:ind w:left="136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39"/>
    <w:rsid w:val="0000232E"/>
    <w:rsid w:val="00052014"/>
    <w:rsid w:val="000769E2"/>
    <w:rsid w:val="00082371"/>
    <w:rsid w:val="000D5B93"/>
    <w:rsid w:val="000E615B"/>
    <w:rsid w:val="00170DD3"/>
    <w:rsid w:val="001B6E91"/>
    <w:rsid w:val="001F6B15"/>
    <w:rsid w:val="002004E2"/>
    <w:rsid w:val="0020667D"/>
    <w:rsid w:val="00237734"/>
    <w:rsid w:val="0028326A"/>
    <w:rsid w:val="002C301D"/>
    <w:rsid w:val="003749B9"/>
    <w:rsid w:val="0039261E"/>
    <w:rsid w:val="0040083D"/>
    <w:rsid w:val="00403935"/>
    <w:rsid w:val="00477AC3"/>
    <w:rsid w:val="00485118"/>
    <w:rsid w:val="004E7D2F"/>
    <w:rsid w:val="00514D3A"/>
    <w:rsid w:val="005928E3"/>
    <w:rsid w:val="005B29D1"/>
    <w:rsid w:val="005B5A7D"/>
    <w:rsid w:val="005C78E9"/>
    <w:rsid w:val="005F4437"/>
    <w:rsid w:val="006052D8"/>
    <w:rsid w:val="00657604"/>
    <w:rsid w:val="00676C38"/>
    <w:rsid w:val="006D4A0A"/>
    <w:rsid w:val="0071044E"/>
    <w:rsid w:val="00746A38"/>
    <w:rsid w:val="007658D3"/>
    <w:rsid w:val="0079563C"/>
    <w:rsid w:val="007F5293"/>
    <w:rsid w:val="00853E2B"/>
    <w:rsid w:val="00857839"/>
    <w:rsid w:val="008F031A"/>
    <w:rsid w:val="00926BD6"/>
    <w:rsid w:val="00934D1C"/>
    <w:rsid w:val="00971DFC"/>
    <w:rsid w:val="009B1D68"/>
    <w:rsid w:val="009E1DEE"/>
    <w:rsid w:val="009E5C4E"/>
    <w:rsid w:val="009F3D59"/>
    <w:rsid w:val="00A30EFC"/>
    <w:rsid w:val="00A34315"/>
    <w:rsid w:val="00AA635E"/>
    <w:rsid w:val="00AA7C8C"/>
    <w:rsid w:val="00AB748B"/>
    <w:rsid w:val="00AC0064"/>
    <w:rsid w:val="00AC186D"/>
    <w:rsid w:val="00AC3223"/>
    <w:rsid w:val="00B44810"/>
    <w:rsid w:val="00B701CD"/>
    <w:rsid w:val="00B75E2B"/>
    <w:rsid w:val="00C22F00"/>
    <w:rsid w:val="00C43297"/>
    <w:rsid w:val="00D2167B"/>
    <w:rsid w:val="00D714C8"/>
    <w:rsid w:val="00D77085"/>
    <w:rsid w:val="00DB7770"/>
    <w:rsid w:val="00EB60E9"/>
    <w:rsid w:val="00ED74C2"/>
    <w:rsid w:val="00EE3656"/>
    <w:rsid w:val="00F225AF"/>
    <w:rsid w:val="00F379D9"/>
    <w:rsid w:val="00F86998"/>
    <w:rsid w:val="00FC6912"/>
    <w:rsid w:val="00FD5DD0"/>
    <w:rsid w:val="078639CD"/>
    <w:rsid w:val="14373864"/>
    <w:rsid w:val="1FAE7D0A"/>
    <w:rsid w:val="20711B8E"/>
    <w:rsid w:val="2583B45C"/>
    <w:rsid w:val="2599A897"/>
    <w:rsid w:val="2D23EB25"/>
    <w:rsid w:val="334E3ADD"/>
    <w:rsid w:val="348CC36C"/>
    <w:rsid w:val="362C8BD5"/>
    <w:rsid w:val="3A8EA29D"/>
    <w:rsid w:val="3DD4A518"/>
    <w:rsid w:val="425BCD33"/>
    <w:rsid w:val="45D67BDF"/>
    <w:rsid w:val="46A64A9C"/>
    <w:rsid w:val="4B69AE63"/>
    <w:rsid w:val="4F7E57DF"/>
    <w:rsid w:val="585A4135"/>
    <w:rsid w:val="5A146F96"/>
    <w:rsid w:val="5CFA36D6"/>
    <w:rsid w:val="5D9D30D2"/>
    <w:rsid w:val="7037FDAA"/>
    <w:rsid w:val="7C3CC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7CE2"/>
  <w15:chartTrackingRefBased/>
  <w15:docId w15:val="{B8762699-922E-4B03-B9D7-04147B98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57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57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5783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5783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5783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5783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5783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5783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5783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783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5783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5783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5783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5783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5783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5783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5783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57839"/>
    <w:rPr>
      <w:rFonts w:eastAsiaTheme="majorEastAsia" w:cstheme="majorBidi"/>
      <w:color w:val="272727" w:themeColor="text1" w:themeTint="D8"/>
    </w:rPr>
  </w:style>
  <w:style w:type="paragraph" w:styleId="Nzev">
    <w:name w:val="Title"/>
    <w:basedOn w:val="Normln"/>
    <w:next w:val="Normln"/>
    <w:link w:val="NzevChar"/>
    <w:uiPriority w:val="10"/>
    <w:qFormat/>
    <w:rsid w:val="00857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5783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783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5783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57839"/>
    <w:pPr>
      <w:spacing w:before="160"/>
      <w:jc w:val="center"/>
    </w:pPr>
    <w:rPr>
      <w:i/>
      <w:iCs/>
      <w:color w:val="404040" w:themeColor="text1" w:themeTint="BF"/>
    </w:rPr>
  </w:style>
  <w:style w:type="character" w:customStyle="1" w:styleId="CittChar">
    <w:name w:val="Citát Char"/>
    <w:basedOn w:val="Standardnpsmoodstavce"/>
    <w:link w:val="Citt"/>
    <w:uiPriority w:val="29"/>
    <w:rsid w:val="00857839"/>
    <w:rPr>
      <w:i/>
      <w:iCs/>
      <w:color w:val="404040" w:themeColor="text1" w:themeTint="BF"/>
    </w:rPr>
  </w:style>
  <w:style w:type="paragraph" w:styleId="Odstavecseseznamem">
    <w:name w:val="List Paragraph"/>
    <w:basedOn w:val="Normln"/>
    <w:uiPriority w:val="34"/>
    <w:qFormat/>
    <w:rsid w:val="00857839"/>
    <w:pPr>
      <w:ind w:left="720"/>
      <w:contextualSpacing/>
    </w:pPr>
  </w:style>
  <w:style w:type="character" w:styleId="Zdraznnintenzivn">
    <w:name w:val="Intense Emphasis"/>
    <w:basedOn w:val="Standardnpsmoodstavce"/>
    <w:uiPriority w:val="21"/>
    <w:qFormat/>
    <w:rsid w:val="00857839"/>
    <w:rPr>
      <w:i/>
      <w:iCs/>
      <w:color w:val="0F4761" w:themeColor="accent1" w:themeShade="BF"/>
    </w:rPr>
  </w:style>
  <w:style w:type="paragraph" w:styleId="Vrazncitt">
    <w:name w:val="Intense Quote"/>
    <w:basedOn w:val="Normln"/>
    <w:next w:val="Normln"/>
    <w:link w:val="VrazncittChar"/>
    <w:uiPriority w:val="30"/>
    <w:qFormat/>
    <w:rsid w:val="00857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57839"/>
    <w:rPr>
      <w:i/>
      <w:iCs/>
      <w:color w:val="0F4761" w:themeColor="accent1" w:themeShade="BF"/>
    </w:rPr>
  </w:style>
  <w:style w:type="character" w:styleId="Odkazintenzivn">
    <w:name w:val="Intense Reference"/>
    <w:basedOn w:val="Standardnpsmoodstavce"/>
    <w:uiPriority w:val="32"/>
    <w:qFormat/>
    <w:rsid w:val="00857839"/>
    <w:rPr>
      <w:b/>
      <w:bCs/>
      <w:smallCaps/>
      <w:color w:val="0F4761" w:themeColor="accent1" w:themeShade="BF"/>
      <w:spacing w:val="5"/>
    </w:rPr>
  </w:style>
  <w:style w:type="paragraph" w:styleId="Zhlav">
    <w:name w:val="header"/>
    <w:basedOn w:val="Normln"/>
    <w:link w:val="ZhlavChar"/>
    <w:semiHidden/>
    <w:rsid w:val="002004E2"/>
    <w:pPr>
      <w:tabs>
        <w:tab w:val="center" w:pos="4536"/>
        <w:tab w:val="right" w:pos="9072"/>
      </w:tabs>
      <w:spacing w:after="0" w:line="280" w:lineRule="atLeast"/>
    </w:pPr>
    <w:rPr>
      <w:rFonts w:ascii="Times New Roman" w:eastAsia="Times New Roman" w:hAnsi="Times New Roman" w:cs="Times New Roman"/>
      <w:kern w:val="0"/>
      <w:szCs w:val="20"/>
      <w:lang w:eastAsia="de-DE"/>
      <w14:ligatures w14:val="none"/>
    </w:rPr>
  </w:style>
  <w:style w:type="character" w:customStyle="1" w:styleId="ZhlavChar">
    <w:name w:val="Záhlaví Char"/>
    <w:basedOn w:val="Standardnpsmoodstavce"/>
    <w:link w:val="Zhlav"/>
    <w:semiHidden/>
    <w:rsid w:val="002004E2"/>
    <w:rPr>
      <w:rFonts w:ascii="Times New Roman" w:eastAsia="Times New Roman" w:hAnsi="Times New Roman" w:cs="Times New Roman"/>
      <w:kern w:val="0"/>
      <w:szCs w:val="20"/>
      <w:lang w:eastAsia="de-DE"/>
      <w14:ligatures w14:val="none"/>
    </w:rPr>
  </w:style>
  <w:style w:type="paragraph" w:customStyle="1" w:styleId="Adrest">
    <w:name w:val="Adresát"/>
    <w:basedOn w:val="Normln"/>
    <w:rsid w:val="002004E2"/>
    <w:pPr>
      <w:spacing w:before="280" w:after="0" w:line="280" w:lineRule="exact"/>
      <w:ind w:left="822"/>
    </w:pPr>
    <w:rPr>
      <w:rFonts w:ascii="Times New Roman" w:eastAsia="Times New Roman" w:hAnsi="Times New Roman" w:cs="Times New Roman"/>
      <w:kern w:val="0"/>
      <w:lang w:eastAsia="cs-CZ"/>
      <w14:ligatures w14:val="none"/>
    </w:rPr>
  </w:style>
  <w:style w:type="paragraph" w:styleId="Zkladntext2">
    <w:name w:val="Body Text 2"/>
    <w:basedOn w:val="Normln"/>
    <w:link w:val="Zkladntext2Char"/>
    <w:semiHidden/>
    <w:rsid w:val="002004E2"/>
    <w:pPr>
      <w:spacing w:after="0" w:line="280" w:lineRule="exact"/>
    </w:pPr>
    <w:rPr>
      <w:rFonts w:ascii="Times New Roman" w:eastAsia="Times New Roman" w:hAnsi="Times New Roman" w:cs="Times New Roman"/>
      <w:b/>
      <w:bCs/>
      <w:kern w:val="0"/>
      <w:szCs w:val="20"/>
      <w:lang w:eastAsia="de-DE"/>
      <w14:ligatures w14:val="none"/>
    </w:rPr>
  </w:style>
  <w:style w:type="character" w:customStyle="1" w:styleId="Zkladntext2Char">
    <w:name w:val="Základní text 2 Char"/>
    <w:basedOn w:val="Standardnpsmoodstavce"/>
    <w:link w:val="Zkladntext2"/>
    <w:semiHidden/>
    <w:rsid w:val="002004E2"/>
    <w:rPr>
      <w:rFonts w:ascii="Times New Roman" w:eastAsia="Times New Roman" w:hAnsi="Times New Roman" w:cs="Times New Roman"/>
      <w:b/>
      <w:bCs/>
      <w:kern w:val="0"/>
      <w:szCs w:val="20"/>
      <w:lang w:eastAsia="de-DE"/>
      <w14:ligatures w14:val="none"/>
    </w:rPr>
  </w:style>
  <w:style w:type="character" w:styleId="Hypertextovodkaz">
    <w:name w:val="Hyperlink"/>
    <w:basedOn w:val="Standardnpsmoodstavce"/>
    <w:uiPriority w:val="99"/>
    <w:unhideWhenUsed/>
    <w:rsid w:val="00EE3656"/>
    <w:rPr>
      <w:color w:val="467886" w:themeColor="hyperlink"/>
      <w:u w:val="single"/>
    </w:rPr>
  </w:style>
  <w:style w:type="character" w:styleId="Nevyeenzmnka">
    <w:name w:val="Unresolved Mention"/>
    <w:basedOn w:val="Standardnpsmoodstavce"/>
    <w:uiPriority w:val="99"/>
    <w:semiHidden/>
    <w:unhideWhenUsed/>
    <w:rsid w:val="00EE3656"/>
    <w:rPr>
      <w:color w:val="605E5C"/>
      <w:shd w:val="clear" w:color="auto" w:fill="E1DFDD"/>
    </w:rPr>
  </w:style>
  <w:style w:type="paragraph" w:styleId="Textbubliny">
    <w:name w:val="Balloon Text"/>
    <w:basedOn w:val="Normln"/>
    <w:link w:val="TextbublinyChar"/>
    <w:uiPriority w:val="99"/>
    <w:semiHidden/>
    <w:unhideWhenUsed/>
    <w:rsid w:val="00EE36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3656"/>
    <w:rPr>
      <w:rFonts w:ascii="Segoe UI" w:hAnsi="Segoe UI" w:cs="Segoe UI"/>
      <w:sz w:val="18"/>
      <w:szCs w:val="18"/>
    </w:rPr>
  </w:style>
  <w:style w:type="paragraph" w:styleId="Revize">
    <w:name w:val="Revision"/>
    <w:hidden/>
    <w:uiPriority w:val="99"/>
    <w:semiHidden/>
    <w:rsid w:val="00F86998"/>
    <w:pPr>
      <w:spacing w:after="0" w:line="240" w:lineRule="auto"/>
    </w:pPr>
  </w:style>
  <w:style w:type="paragraph" w:styleId="Zpat">
    <w:name w:val="footer"/>
    <w:basedOn w:val="Normln"/>
    <w:link w:val="ZpatChar"/>
    <w:uiPriority w:val="99"/>
    <w:unhideWhenUsed/>
    <w:rsid w:val="00F86998"/>
    <w:pPr>
      <w:tabs>
        <w:tab w:val="center" w:pos="4536"/>
        <w:tab w:val="right" w:pos="9072"/>
      </w:tabs>
      <w:spacing w:after="0" w:line="240" w:lineRule="auto"/>
    </w:pPr>
  </w:style>
  <w:style w:type="character" w:customStyle="1" w:styleId="ZpatChar">
    <w:name w:val="Zápatí Char"/>
    <w:basedOn w:val="Standardnpsmoodstavce"/>
    <w:link w:val="Zpat"/>
    <w:uiPriority w:val="99"/>
    <w:rsid w:val="00F86998"/>
  </w:style>
  <w:style w:type="paragraph" w:styleId="Bezmezer">
    <w:name w:val="No Spacing"/>
    <w:uiPriority w:val="99"/>
    <w:qFormat/>
    <w:rsid w:val="00F86998"/>
    <w:pPr>
      <w:spacing w:after="0" w:line="240" w:lineRule="auto"/>
    </w:pPr>
    <w:rPr>
      <w:rFonts w:ascii="Times New Roman" w:eastAsia="SimSun" w:hAnsi="Times New Roman" w:cs="Times New Roman"/>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297">
      <w:bodyDiv w:val="1"/>
      <w:marLeft w:val="0"/>
      <w:marRight w:val="0"/>
      <w:marTop w:val="0"/>
      <w:marBottom w:val="0"/>
      <w:divBdr>
        <w:top w:val="none" w:sz="0" w:space="0" w:color="auto"/>
        <w:left w:val="none" w:sz="0" w:space="0" w:color="auto"/>
        <w:bottom w:val="none" w:sz="0" w:space="0" w:color="auto"/>
        <w:right w:val="none" w:sz="0" w:space="0" w:color="auto"/>
      </w:divBdr>
    </w:div>
    <w:div w:id="271867398">
      <w:bodyDiv w:val="1"/>
      <w:marLeft w:val="0"/>
      <w:marRight w:val="0"/>
      <w:marTop w:val="0"/>
      <w:marBottom w:val="0"/>
      <w:divBdr>
        <w:top w:val="none" w:sz="0" w:space="0" w:color="auto"/>
        <w:left w:val="none" w:sz="0" w:space="0" w:color="auto"/>
        <w:bottom w:val="none" w:sz="0" w:space="0" w:color="auto"/>
        <w:right w:val="none" w:sz="0" w:space="0" w:color="auto"/>
      </w:divBdr>
    </w:div>
    <w:div w:id="910192309">
      <w:bodyDiv w:val="1"/>
      <w:marLeft w:val="0"/>
      <w:marRight w:val="0"/>
      <w:marTop w:val="0"/>
      <w:marBottom w:val="0"/>
      <w:divBdr>
        <w:top w:val="none" w:sz="0" w:space="0" w:color="auto"/>
        <w:left w:val="none" w:sz="0" w:space="0" w:color="auto"/>
        <w:bottom w:val="none" w:sz="0" w:space="0" w:color="auto"/>
        <w:right w:val="none" w:sz="0" w:space="0" w:color="auto"/>
      </w:divBdr>
    </w:div>
    <w:div w:id="1083064176">
      <w:bodyDiv w:val="1"/>
      <w:marLeft w:val="0"/>
      <w:marRight w:val="0"/>
      <w:marTop w:val="0"/>
      <w:marBottom w:val="0"/>
      <w:divBdr>
        <w:top w:val="none" w:sz="0" w:space="0" w:color="auto"/>
        <w:left w:val="none" w:sz="0" w:space="0" w:color="auto"/>
        <w:bottom w:val="none" w:sz="0" w:space="0" w:color="auto"/>
        <w:right w:val="none" w:sz="0" w:space="0" w:color="auto"/>
      </w:divBdr>
    </w:div>
    <w:div w:id="1169906264">
      <w:bodyDiv w:val="1"/>
      <w:marLeft w:val="0"/>
      <w:marRight w:val="0"/>
      <w:marTop w:val="0"/>
      <w:marBottom w:val="0"/>
      <w:divBdr>
        <w:top w:val="none" w:sz="0" w:space="0" w:color="auto"/>
        <w:left w:val="none" w:sz="0" w:space="0" w:color="auto"/>
        <w:bottom w:val="none" w:sz="0" w:space="0" w:color="auto"/>
        <w:right w:val="none" w:sz="0" w:space="0" w:color="auto"/>
      </w:divBdr>
    </w:div>
    <w:div w:id="1661150474">
      <w:bodyDiv w:val="1"/>
      <w:marLeft w:val="0"/>
      <w:marRight w:val="0"/>
      <w:marTop w:val="0"/>
      <w:marBottom w:val="0"/>
      <w:divBdr>
        <w:top w:val="none" w:sz="0" w:space="0" w:color="auto"/>
        <w:left w:val="none" w:sz="0" w:space="0" w:color="auto"/>
        <w:bottom w:val="none" w:sz="0" w:space="0" w:color="auto"/>
        <w:right w:val="none" w:sz="0" w:space="0" w:color="auto"/>
      </w:divBdr>
    </w:div>
    <w:div w:id="1717193959">
      <w:bodyDiv w:val="1"/>
      <w:marLeft w:val="0"/>
      <w:marRight w:val="0"/>
      <w:marTop w:val="0"/>
      <w:marBottom w:val="0"/>
      <w:divBdr>
        <w:top w:val="none" w:sz="0" w:space="0" w:color="auto"/>
        <w:left w:val="none" w:sz="0" w:space="0" w:color="auto"/>
        <w:bottom w:val="none" w:sz="0" w:space="0" w:color="auto"/>
        <w:right w:val="none" w:sz="0" w:space="0" w:color="auto"/>
      </w:divBdr>
    </w:div>
    <w:div w:id="2030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lahova.a@velkemezir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220600-4852-4bcf-ad1c-7d314d234407">
      <Terms xmlns="http://schemas.microsoft.com/office/infopath/2007/PartnerControls"/>
    </lcf76f155ced4ddcb4097134ff3c332f>
    <TaxCatchAll xmlns="484b7379-4efd-40ab-96db-3a2490d593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DF70AE0558DD4491CDDB4AC8631B91" ma:contentTypeVersion="11" ma:contentTypeDescription="Vytvoří nový dokument" ma:contentTypeScope="" ma:versionID="496ded01bc6eb9cd5a5fec1ce3bd2c02">
  <xsd:schema xmlns:xsd="http://www.w3.org/2001/XMLSchema" xmlns:xs="http://www.w3.org/2001/XMLSchema" xmlns:p="http://schemas.microsoft.com/office/2006/metadata/properties" xmlns:ns2="12220600-4852-4bcf-ad1c-7d314d234407" xmlns:ns3="484b7379-4efd-40ab-96db-3a2490d59391" targetNamespace="http://schemas.microsoft.com/office/2006/metadata/properties" ma:root="true" ma:fieldsID="bdb8f86de9acf4e2663c2e08e61a2747" ns2:_="" ns3:_="">
    <xsd:import namespace="12220600-4852-4bcf-ad1c-7d314d234407"/>
    <xsd:import namespace="484b7379-4efd-40ab-96db-3a2490d593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20600-4852-4bcf-ad1c-7d314d23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b7379-4efd-40ab-96db-3a2490d593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5e70c7-32cd-4d36-a94b-722f19f98e37}" ma:internalName="TaxCatchAll" ma:showField="CatchAllData" ma:web="484b7379-4efd-40ab-96db-3a2490d59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DC812-E378-4F51-B301-1614DCCD678F}">
  <ds:schemaRefs>
    <ds:schemaRef ds:uri="http://schemas.microsoft.com/office/2006/metadata/properties"/>
    <ds:schemaRef ds:uri="http://schemas.microsoft.com/office/infopath/2007/PartnerControls"/>
    <ds:schemaRef ds:uri="12220600-4852-4bcf-ad1c-7d314d234407"/>
    <ds:schemaRef ds:uri="484b7379-4efd-40ab-96db-3a2490d59391"/>
  </ds:schemaRefs>
</ds:datastoreItem>
</file>

<file path=customXml/itemProps2.xml><?xml version="1.0" encoding="utf-8"?>
<ds:datastoreItem xmlns:ds="http://schemas.openxmlformats.org/officeDocument/2006/customXml" ds:itemID="{16761286-DFCF-44A6-B8D3-AABE5DF6E76C}">
  <ds:schemaRefs>
    <ds:schemaRef ds:uri="http://schemas.microsoft.com/sharepoint/v3/contenttype/forms"/>
  </ds:schemaRefs>
</ds:datastoreItem>
</file>

<file path=customXml/itemProps3.xml><?xml version="1.0" encoding="utf-8"?>
<ds:datastoreItem xmlns:ds="http://schemas.openxmlformats.org/officeDocument/2006/customXml" ds:itemID="{A0FF98D8-8270-472C-BF46-C855FA0E2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20600-4852-4bcf-ad1c-7d314d234407"/>
    <ds:schemaRef ds:uri="484b7379-4efd-40ab-96db-3a2490d5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1832</Words>
  <Characters>10809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Faltys, Michal</dc:creator>
  <cp:keywords/>
  <dc:description/>
  <cp:lastModifiedBy>Kovářová Anna</cp:lastModifiedBy>
  <cp:revision>9</cp:revision>
  <dcterms:created xsi:type="dcterms:W3CDTF">2024-12-19T09:23:00Z</dcterms:created>
  <dcterms:modified xsi:type="dcterms:W3CDTF">2025-01-27T12:45:00Z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0x01010033DF70AE0558DD4491CDDB4AC8631B91</vt:lpwstr>
  </property>
  <property fmtid="{D5CDD505-2E9C-101B-9397-08002B2CF9AE}" pid="3" name="MediaServiceImageTags">
    <vt:lpwstr/>
  </property>
</Properties>
</file>