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0F" w:rsidRDefault="009F1858">
      <w:pPr>
        <w:pStyle w:val="Style2"/>
        <w:keepNext/>
        <w:keepLines/>
        <w:shd w:val="clear" w:color="auto" w:fill="auto"/>
      </w:pPr>
      <w:bookmarkStart w:id="0" w:name="bookmark0"/>
      <w:r>
        <w:t>Kupní smlouva</w:t>
      </w:r>
      <w:bookmarkEnd w:id="0"/>
    </w:p>
    <w:p w:rsidR="0062350F" w:rsidRDefault="009F1858">
      <w:pPr>
        <w:pStyle w:val="Style7"/>
        <w:shd w:val="clear" w:color="auto" w:fill="auto"/>
        <w:ind w:firstLine="0"/>
      </w:pPr>
      <w:r>
        <w:t>uzavřená podle § 2079 a následujících zákona č. 89/2012 Sb., občanského zákoníku</w:t>
      </w:r>
    </w:p>
    <w:p w:rsidR="0062350F" w:rsidRDefault="009F1858">
      <w:pPr>
        <w:pStyle w:val="Style7"/>
        <w:shd w:val="clear" w:color="auto" w:fill="auto"/>
        <w:spacing w:after="760"/>
        <w:ind w:firstLine="0"/>
      </w:pPr>
      <w:r>
        <w:t>v platném znění</w:t>
      </w:r>
    </w:p>
    <w:p w:rsidR="0062350F" w:rsidRDefault="009F1858">
      <w:pPr>
        <w:pStyle w:val="Style9"/>
        <w:keepNext/>
        <w:keepLines/>
        <w:shd w:val="clear" w:color="auto" w:fill="auto"/>
        <w:spacing w:before="0"/>
        <w:ind w:firstLine="0"/>
      </w:pPr>
      <w:bookmarkStart w:id="1" w:name="bookmark1"/>
      <w:r>
        <w:t>Smluvní strany</w:t>
      </w:r>
      <w:bookmarkEnd w:id="1"/>
    </w:p>
    <w:p w:rsidR="0062350F" w:rsidRDefault="009F1858">
      <w:pPr>
        <w:pStyle w:val="Style9"/>
        <w:keepNext/>
        <w:keepLines/>
        <w:numPr>
          <w:ilvl w:val="0"/>
          <w:numId w:val="1"/>
        </w:numPr>
        <w:shd w:val="clear" w:color="auto" w:fill="auto"/>
        <w:tabs>
          <w:tab w:val="left" w:pos="706"/>
        </w:tabs>
        <w:spacing w:before="0" w:after="0"/>
        <w:ind w:left="400"/>
        <w:jc w:val="both"/>
      </w:pPr>
      <w:bookmarkStart w:id="2" w:name="bookmark2"/>
      <w:r>
        <w:t>Domov pro seniory HÁJE</w:t>
      </w:r>
      <w:bookmarkEnd w:id="2"/>
    </w:p>
    <w:p w:rsidR="0062350F" w:rsidRDefault="009F1858">
      <w:pPr>
        <w:pStyle w:val="Style7"/>
        <w:shd w:val="clear" w:color="auto" w:fill="auto"/>
        <w:spacing w:line="250" w:lineRule="exact"/>
        <w:ind w:left="760" w:firstLine="0"/>
        <w:jc w:val="left"/>
      </w:pPr>
      <w:r>
        <w:t>se sídlem: K Milíčovu 734/1, 149 00 Praha 4</w:t>
      </w:r>
    </w:p>
    <w:p w:rsidR="0062350F" w:rsidRDefault="009F1858">
      <w:pPr>
        <w:pStyle w:val="Style7"/>
        <w:shd w:val="clear" w:color="auto" w:fill="auto"/>
        <w:spacing w:line="250" w:lineRule="exact"/>
        <w:ind w:left="760" w:firstLine="0"/>
        <w:jc w:val="left"/>
      </w:pPr>
      <w:r>
        <w:t>zastoupený: Mgr. Dagmar Zavadilovou, ředitelkou</w:t>
      </w:r>
    </w:p>
    <w:p w:rsidR="0062350F" w:rsidRDefault="009F1858">
      <w:pPr>
        <w:pStyle w:val="Style7"/>
        <w:shd w:val="clear" w:color="auto" w:fill="auto"/>
        <w:spacing w:line="250" w:lineRule="exact"/>
        <w:ind w:left="760" w:firstLine="0"/>
        <w:jc w:val="left"/>
      </w:pPr>
      <w:r>
        <w:t>IČ: 70875111</w:t>
      </w:r>
    </w:p>
    <w:p w:rsidR="0062350F" w:rsidRDefault="009F1858">
      <w:pPr>
        <w:pStyle w:val="Style7"/>
        <w:shd w:val="clear" w:color="auto" w:fill="auto"/>
        <w:spacing w:line="250" w:lineRule="exact"/>
        <w:ind w:left="760" w:firstLine="0"/>
        <w:jc w:val="left"/>
      </w:pPr>
      <w:r>
        <w:t>DIČ: není plátcem DPH</w:t>
      </w:r>
    </w:p>
    <w:p w:rsidR="00FE24FD" w:rsidRDefault="009F1858">
      <w:pPr>
        <w:pStyle w:val="Style7"/>
        <w:shd w:val="clear" w:color="auto" w:fill="auto"/>
        <w:spacing w:line="250" w:lineRule="exact"/>
        <w:ind w:left="760" w:firstLine="0"/>
        <w:jc w:val="left"/>
      </w:pPr>
      <w:r>
        <w:t xml:space="preserve">bankovní spojení: </w:t>
      </w:r>
    </w:p>
    <w:p w:rsidR="0062350F" w:rsidRDefault="009F1858">
      <w:pPr>
        <w:pStyle w:val="Style7"/>
        <w:shd w:val="clear" w:color="auto" w:fill="auto"/>
        <w:spacing w:line="250" w:lineRule="exact"/>
        <w:ind w:left="760" w:firstLine="0"/>
        <w:jc w:val="left"/>
      </w:pPr>
      <w:r>
        <w:t xml:space="preserve">číslo účtu: </w:t>
      </w:r>
    </w:p>
    <w:p w:rsidR="0062350F" w:rsidRDefault="009F1858">
      <w:pPr>
        <w:pStyle w:val="Style7"/>
        <w:shd w:val="clear" w:color="auto" w:fill="auto"/>
        <w:spacing w:after="480" w:line="509" w:lineRule="exact"/>
        <w:ind w:right="2120" w:firstLine="760"/>
        <w:jc w:val="left"/>
      </w:pPr>
      <w:r>
        <w:t xml:space="preserve">kontakt: tel:, fax:, email: (dále jen </w:t>
      </w:r>
      <w:r>
        <w:rPr>
          <w:rStyle w:val="CharStyle11"/>
        </w:rPr>
        <w:t xml:space="preserve">„kupující") </w:t>
      </w:r>
      <w:r>
        <w:t>a</w:t>
      </w:r>
    </w:p>
    <w:p w:rsidR="0062350F" w:rsidRDefault="009F1858">
      <w:pPr>
        <w:pStyle w:val="Style9"/>
        <w:keepNext/>
        <w:keepLines/>
        <w:numPr>
          <w:ilvl w:val="0"/>
          <w:numId w:val="1"/>
        </w:numPr>
        <w:shd w:val="clear" w:color="auto" w:fill="auto"/>
        <w:tabs>
          <w:tab w:val="left" w:pos="706"/>
        </w:tabs>
        <w:spacing w:before="0" w:after="0"/>
        <w:ind w:left="400"/>
        <w:jc w:val="both"/>
      </w:pPr>
      <w:bookmarkStart w:id="3" w:name="bookmark3"/>
      <w:r>
        <w:t>STERIPAK s.r.o.</w:t>
      </w:r>
      <w:bookmarkEnd w:id="3"/>
    </w:p>
    <w:p w:rsidR="0062350F" w:rsidRDefault="009F1858">
      <w:pPr>
        <w:pStyle w:val="Style7"/>
        <w:shd w:val="clear" w:color="auto" w:fill="auto"/>
        <w:spacing w:line="250" w:lineRule="exact"/>
        <w:ind w:left="760" w:firstLine="0"/>
        <w:jc w:val="left"/>
      </w:pPr>
      <w:r>
        <w:t>sídlo: Poděbradova 849, 664 42 Modřice</w:t>
      </w:r>
    </w:p>
    <w:p w:rsidR="0062350F" w:rsidRDefault="009F1858">
      <w:pPr>
        <w:pStyle w:val="Style7"/>
        <w:shd w:val="clear" w:color="auto" w:fill="auto"/>
        <w:spacing w:line="250" w:lineRule="exact"/>
        <w:ind w:left="760" w:firstLine="0"/>
        <w:jc w:val="left"/>
      </w:pPr>
      <w:r>
        <w:t>zastoupená: Vilémem Švecem, jednatelem</w:t>
      </w:r>
    </w:p>
    <w:p w:rsidR="0062350F" w:rsidRDefault="009F1858">
      <w:pPr>
        <w:pStyle w:val="Style7"/>
        <w:shd w:val="clear" w:color="auto" w:fill="auto"/>
        <w:spacing w:line="250" w:lineRule="exact"/>
        <w:ind w:left="760" w:firstLine="0"/>
        <w:jc w:val="left"/>
      </w:pPr>
      <w:r>
        <w:t>IČ:26225484</w:t>
      </w:r>
    </w:p>
    <w:p w:rsidR="0062350F" w:rsidRDefault="009F1858">
      <w:pPr>
        <w:pStyle w:val="Style7"/>
        <w:shd w:val="clear" w:color="auto" w:fill="auto"/>
        <w:spacing w:line="250" w:lineRule="exact"/>
        <w:ind w:left="760" w:firstLine="0"/>
        <w:jc w:val="left"/>
      </w:pPr>
      <w:r>
        <w:t>DIČ: CZ26225484</w:t>
      </w:r>
    </w:p>
    <w:p w:rsidR="0062350F" w:rsidRDefault="009F1858">
      <w:pPr>
        <w:pStyle w:val="Style7"/>
        <w:shd w:val="clear" w:color="auto" w:fill="auto"/>
        <w:spacing w:line="250" w:lineRule="exact"/>
        <w:ind w:left="760" w:firstLine="0"/>
        <w:jc w:val="left"/>
      </w:pPr>
      <w:r>
        <w:t xml:space="preserve">bankovní spojení: číslo účtu: </w:t>
      </w:r>
    </w:p>
    <w:p w:rsidR="0062350F" w:rsidRDefault="009F1858">
      <w:pPr>
        <w:pStyle w:val="Style7"/>
        <w:shd w:val="clear" w:color="auto" w:fill="auto"/>
        <w:spacing w:after="1460" w:line="509" w:lineRule="exact"/>
        <w:ind w:left="760" w:right="2000" w:firstLine="0"/>
        <w:jc w:val="left"/>
      </w:pPr>
      <w:r>
        <w:t>kontakt: tel:, fax, email:</w:t>
      </w:r>
      <w:r>
        <w:rPr>
          <w:lang w:val="en-US" w:eastAsia="en-US" w:bidi="en-US"/>
        </w:rPr>
        <w:t xml:space="preserve"> </w:t>
      </w:r>
      <w:r>
        <w:t xml:space="preserve">(dále jen </w:t>
      </w:r>
      <w:r>
        <w:rPr>
          <w:rStyle w:val="CharStyle11"/>
        </w:rPr>
        <w:t>„prodávající")</w:t>
      </w:r>
    </w:p>
    <w:p w:rsidR="0062350F" w:rsidRDefault="009F1858">
      <w:pPr>
        <w:pStyle w:val="Style7"/>
        <w:shd w:val="clear" w:color="auto" w:fill="auto"/>
        <w:spacing w:line="234" w:lineRule="exact"/>
        <w:ind w:firstLine="0"/>
      </w:pPr>
      <w:r>
        <w:t>Článek I.</w:t>
      </w:r>
    </w:p>
    <w:p w:rsidR="0062350F" w:rsidRDefault="009F1858">
      <w:pPr>
        <w:pStyle w:val="Style9"/>
        <w:keepNext/>
        <w:keepLines/>
        <w:shd w:val="clear" w:color="auto" w:fill="auto"/>
        <w:spacing w:before="0" w:after="244"/>
        <w:ind w:firstLine="0"/>
      </w:pPr>
      <w:bookmarkStart w:id="4" w:name="bookmark4"/>
      <w:r>
        <w:t>Předmět smlouvy</w:t>
      </w:r>
      <w:bookmarkEnd w:id="4"/>
    </w:p>
    <w:p w:rsidR="0062350F" w:rsidRDefault="009F1858">
      <w:pPr>
        <w:pStyle w:val="Style7"/>
        <w:numPr>
          <w:ilvl w:val="0"/>
          <w:numId w:val="2"/>
        </w:numPr>
        <w:shd w:val="clear" w:color="auto" w:fill="auto"/>
        <w:tabs>
          <w:tab w:val="left" w:pos="355"/>
        </w:tabs>
        <w:spacing w:line="254" w:lineRule="exact"/>
        <w:ind w:left="400" w:hanging="400"/>
        <w:jc w:val="both"/>
      </w:pPr>
      <w:r>
        <w:t>Předmětem této kupní smlouvy je závazek prodávajícího dodat kupujícímu dvě myčky podložních mís včetně montáže. Specifikace zboží, rozsah a cena je nedílnou součástí této smlouvy v příloze č. 1.</w:t>
      </w:r>
    </w:p>
    <w:p w:rsidR="0062350F" w:rsidRDefault="009F1858">
      <w:pPr>
        <w:pStyle w:val="Style7"/>
        <w:numPr>
          <w:ilvl w:val="0"/>
          <w:numId w:val="2"/>
        </w:numPr>
        <w:shd w:val="clear" w:color="auto" w:fill="auto"/>
        <w:tabs>
          <w:tab w:val="left" w:pos="355"/>
        </w:tabs>
        <w:spacing w:after="756" w:line="254" w:lineRule="exact"/>
        <w:ind w:left="400" w:hanging="400"/>
        <w:jc w:val="both"/>
      </w:pPr>
      <w:r>
        <w:t>Kupující se touto smlouvou zavazuje řádně dodaný předmět koupě od prodávajícího odebrat a zaplatit kupní cenu dle příslušných ustanovení této smlouvy.</w:t>
      </w:r>
    </w:p>
    <w:p w:rsidR="0062350F" w:rsidRDefault="009F1858">
      <w:pPr>
        <w:pStyle w:val="Style7"/>
        <w:shd w:val="clear" w:color="auto" w:fill="auto"/>
        <w:spacing w:line="234" w:lineRule="exact"/>
        <w:ind w:firstLine="0"/>
      </w:pPr>
      <w:r>
        <w:t>Článek II.</w:t>
      </w:r>
    </w:p>
    <w:p w:rsidR="0062350F" w:rsidRDefault="009F1858">
      <w:pPr>
        <w:pStyle w:val="Style9"/>
        <w:keepNext/>
        <w:keepLines/>
        <w:shd w:val="clear" w:color="auto" w:fill="auto"/>
        <w:spacing w:before="0" w:after="240"/>
        <w:ind w:firstLine="0"/>
      </w:pPr>
      <w:bookmarkStart w:id="5" w:name="bookmark5"/>
      <w:r>
        <w:t>Místo plnění</w:t>
      </w:r>
      <w:bookmarkEnd w:id="5"/>
    </w:p>
    <w:p w:rsidR="0062350F" w:rsidRDefault="009F1858">
      <w:pPr>
        <w:pStyle w:val="Style7"/>
        <w:numPr>
          <w:ilvl w:val="0"/>
          <w:numId w:val="3"/>
        </w:numPr>
        <w:shd w:val="clear" w:color="auto" w:fill="auto"/>
        <w:tabs>
          <w:tab w:val="left" w:pos="355"/>
        </w:tabs>
        <w:ind w:left="400" w:hanging="400"/>
        <w:jc w:val="both"/>
      </w:pPr>
      <w:r>
        <w:t>Místem plnění pro dodání zboží a pro jeho sestavení a montáž je Domov pro seniory Háje, K Milíčovu 734/1, 149 00 Praha 4, podlaží B0 a B1.</w:t>
      </w:r>
    </w:p>
    <w:p w:rsidR="0062350F" w:rsidRDefault="009F1858">
      <w:pPr>
        <w:pStyle w:val="Style7"/>
        <w:numPr>
          <w:ilvl w:val="0"/>
          <w:numId w:val="3"/>
        </w:numPr>
        <w:shd w:val="clear" w:color="auto" w:fill="auto"/>
        <w:tabs>
          <w:tab w:val="left" w:pos="358"/>
        </w:tabs>
        <w:spacing w:line="250" w:lineRule="exact"/>
        <w:ind w:left="400" w:hanging="400"/>
        <w:jc w:val="both"/>
      </w:pPr>
      <w:r>
        <w:t>Prodávající se zavazuje poskytnout zdarma konzultace řešící problematiku jednotlivých přívodních médií k přístrojům.</w:t>
      </w:r>
    </w:p>
    <w:p w:rsidR="0062350F" w:rsidRDefault="009F1858">
      <w:pPr>
        <w:pStyle w:val="Style7"/>
        <w:numPr>
          <w:ilvl w:val="0"/>
          <w:numId w:val="3"/>
        </w:numPr>
        <w:shd w:val="clear" w:color="auto" w:fill="auto"/>
        <w:tabs>
          <w:tab w:val="left" w:pos="358"/>
        </w:tabs>
        <w:spacing w:line="250" w:lineRule="exact"/>
        <w:ind w:left="400" w:hanging="400"/>
        <w:jc w:val="both"/>
      </w:pPr>
      <w:r>
        <w:t>Kupující je povinen zajistit na svoje náklady stavební připravenost na základě prodávajícím předaného instalačního plánu.</w:t>
      </w:r>
    </w:p>
    <w:p w:rsidR="0062350F" w:rsidRDefault="009F1858">
      <w:pPr>
        <w:pStyle w:val="Style7"/>
        <w:numPr>
          <w:ilvl w:val="0"/>
          <w:numId w:val="3"/>
        </w:numPr>
        <w:shd w:val="clear" w:color="auto" w:fill="auto"/>
        <w:tabs>
          <w:tab w:val="left" w:pos="358"/>
        </w:tabs>
        <w:spacing w:after="513" w:line="250" w:lineRule="exact"/>
        <w:ind w:left="400" w:hanging="400"/>
        <w:jc w:val="both"/>
      </w:pPr>
      <w:r>
        <w:t xml:space="preserve">Kupující je povinen umožnit prodávajícímu přístup do objektu tak, aby bylo možné v dohodnutém termínu dopravit zboží na místo plnění a nainstalovat jej na jednotlivá místa </w:t>
      </w:r>
      <w:r>
        <w:lastRenderedPageBreak/>
        <w:t>určení.</w:t>
      </w:r>
    </w:p>
    <w:p w:rsidR="0062350F" w:rsidRDefault="009F1858">
      <w:pPr>
        <w:pStyle w:val="Style7"/>
        <w:shd w:val="clear" w:color="auto" w:fill="auto"/>
        <w:spacing w:line="234" w:lineRule="exact"/>
        <w:ind w:right="20" w:firstLine="0"/>
      </w:pPr>
      <w:r>
        <w:t xml:space="preserve">Článek </w:t>
      </w:r>
      <w:r>
        <w:rPr>
          <w:lang w:val="en-US" w:eastAsia="en-US" w:bidi="en-US"/>
        </w:rPr>
        <w:t>III.</w:t>
      </w:r>
    </w:p>
    <w:p w:rsidR="0062350F" w:rsidRDefault="009F1858">
      <w:pPr>
        <w:pStyle w:val="Style9"/>
        <w:keepNext/>
        <w:keepLines/>
        <w:shd w:val="clear" w:color="auto" w:fill="auto"/>
        <w:spacing w:before="0" w:after="248"/>
        <w:ind w:right="20" w:firstLine="0"/>
      </w:pPr>
      <w:bookmarkStart w:id="6" w:name="bookmark6"/>
      <w:r>
        <w:t>Doba plnění</w:t>
      </w:r>
      <w:bookmarkEnd w:id="6"/>
    </w:p>
    <w:p w:rsidR="0062350F" w:rsidRDefault="009F1858">
      <w:pPr>
        <w:pStyle w:val="Style7"/>
        <w:shd w:val="clear" w:color="auto" w:fill="auto"/>
        <w:spacing w:after="513" w:line="250" w:lineRule="exact"/>
        <w:ind w:firstLine="0"/>
        <w:jc w:val="both"/>
      </w:pPr>
      <w:r>
        <w:t>Prodávající se zavazuje dodat a nainstalovat veškeré zboží dle přílohy č. 1 tak, aby bylo uvedeno do provozu a plně funkční nejpozději do 11.8.2017.</w:t>
      </w:r>
    </w:p>
    <w:p w:rsidR="0062350F" w:rsidRDefault="009F1858">
      <w:pPr>
        <w:pStyle w:val="Style7"/>
        <w:shd w:val="clear" w:color="auto" w:fill="auto"/>
        <w:spacing w:line="234" w:lineRule="exact"/>
        <w:ind w:right="20" w:firstLine="0"/>
      </w:pPr>
      <w:r>
        <w:t>Článek IV.</w:t>
      </w:r>
    </w:p>
    <w:p w:rsidR="0062350F" w:rsidRDefault="009F1858">
      <w:pPr>
        <w:pStyle w:val="Style9"/>
        <w:keepNext/>
        <w:keepLines/>
        <w:shd w:val="clear" w:color="auto" w:fill="auto"/>
        <w:spacing w:before="0" w:after="248"/>
        <w:ind w:right="20" w:firstLine="0"/>
      </w:pPr>
      <w:bookmarkStart w:id="7" w:name="bookmark7"/>
      <w:r>
        <w:t>Dodací podmínky</w:t>
      </w:r>
      <w:bookmarkEnd w:id="7"/>
    </w:p>
    <w:p w:rsidR="0062350F" w:rsidRDefault="009F1858">
      <w:pPr>
        <w:pStyle w:val="Style7"/>
        <w:numPr>
          <w:ilvl w:val="0"/>
          <w:numId w:val="4"/>
        </w:numPr>
        <w:shd w:val="clear" w:color="auto" w:fill="auto"/>
        <w:tabs>
          <w:tab w:val="left" w:pos="358"/>
        </w:tabs>
        <w:spacing w:line="250" w:lineRule="exact"/>
        <w:ind w:left="400" w:hanging="400"/>
        <w:jc w:val="both"/>
      </w:pPr>
      <w:r>
        <w:t>Prodávající se zavazuje dodat kupujícímu předmět koupě v rozsahu uvedeném v příloze č.1 této smlouvy.</w:t>
      </w:r>
    </w:p>
    <w:p w:rsidR="0062350F" w:rsidRDefault="009F1858">
      <w:pPr>
        <w:pStyle w:val="Style7"/>
        <w:numPr>
          <w:ilvl w:val="0"/>
          <w:numId w:val="4"/>
        </w:numPr>
        <w:shd w:val="clear" w:color="auto" w:fill="auto"/>
        <w:tabs>
          <w:tab w:val="left" w:pos="358"/>
        </w:tabs>
        <w:spacing w:after="773" w:line="250" w:lineRule="exact"/>
        <w:ind w:left="400" w:hanging="400"/>
        <w:jc w:val="both"/>
      </w:pPr>
      <w:r>
        <w:t>Dodávka se považuje dle této smlouvy za splněnou, pokud předmět koupě bude řádně předán kupujícímu v místě plnění včetně příslušných dokladů, které se k dodávanému předmětu koupě vztahují. Přijetí bude potvrzeno podpisem dodacího listu oprávněnými zástupci obou smluvních stran.</w:t>
      </w:r>
    </w:p>
    <w:p w:rsidR="0062350F" w:rsidRDefault="009F1858">
      <w:pPr>
        <w:pStyle w:val="Style7"/>
        <w:shd w:val="clear" w:color="auto" w:fill="auto"/>
        <w:spacing w:line="234" w:lineRule="exact"/>
        <w:ind w:right="20" w:firstLine="0"/>
      </w:pPr>
      <w:r>
        <w:t>Článek V.</w:t>
      </w:r>
    </w:p>
    <w:p w:rsidR="0062350F" w:rsidRDefault="009F1858">
      <w:pPr>
        <w:pStyle w:val="Style9"/>
        <w:keepNext/>
        <w:keepLines/>
        <w:shd w:val="clear" w:color="auto" w:fill="auto"/>
        <w:spacing w:before="0" w:after="248"/>
        <w:ind w:right="20" w:firstLine="0"/>
      </w:pPr>
      <w:bookmarkStart w:id="8" w:name="bookmark8"/>
      <w:r>
        <w:t>Kupní cena a platební podmínky</w:t>
      </w:r>
      <w:bookmarkEnd w:id="8"/>
    </w:p>
    <w:p w:rsidR="0062350F" w:rsidRDefault="009F1858">
      <w:pPr>
        <w:pStyle w:val="Style7"/>
        <w:numPr>
          <w:ilvl w:val="0"/>
          <w:numId w:val="5"/>
        </w:numPr>
        <w:shd w:val="clear" w:color="auto" w:fill="auto"/>
        <w:tabs>
          <w:tab w:val="left" w:pos="358"/>
        </w:tabs>
        <w:spacing w:line="250" w:lineRule="exact"/>
        <w:ind w:left="400" w:hanging="400"/>
        <w:jc w:val="both"/>
      </w:pPr>
      <w:r>
        <w:t>Celková kupní cena byla dohodou smluvních stran stanovena ve výši 210 000,- Kč bez DPH (slovy dvě stě deset tisíc korun českých), tj. 254 100,- Kč včetně DPH (slovy dvě stě padesát čtyři tisíce jedno sto korun českých). Kupní cena je dohodou stanovena jako nejvýše přípustná. Celkovou a pro účely fakturace rozhodnou cenou se rozumí cena včetně DPH.</w:t>
      </w:r>
    </w:p>
    <w:p w:rsidR="0062350F" w:rsidRDefault="009F1858">
      <w:pPr>
        <w:pStyle w:val="Style7"/>
        <w:numPr>
          <w:ilvl w:val="0"/>
          <w:numId w:val="5"/>
        </w:numPr>
        <w:shd w:val="clear" w:color="auto" w:fill="auto"/>
        <w:tabs>
          <w:tab w:val="left" w:pos="358"/>
        </w:tabs>
        <w:spacing w:line="250" w:lineRule="exact"/>
        <w:ind w:left="400" w:hanging="400"/>
        <w:jc w:val="both"/>
      </w:pPr>
      <w:r>
        <w:t>Kupní cena uvedená u jednotlivých položek předmětu koupě v příloze č. 1 je cena konečná, zahrnuje veškeré náklady prodávajícího (dopravné do místa plnění, instalací včetně uvedení zařízení do provozu a zaškolení obsluhujícího personálu).</w:t>
      </w:r>
    </w:p>
    <w:p w:rsidR="0062350F" w:rsidRDefault="009F1858">
      <w:pPr>
        <w:pStyle w:val="Style7"/>
        <w:numPr>
          <w:ilvl w:val="0"/>
          <w:numId w:val="5"/>
        </w:numPr>
        <w:shd w:val="clear" w:color="auto" w:fill="auto"/>
        <w:tabs>
          <w:tab w:val="left" w:pos="358"/>
        </w:tabs>
        <w:spacing w:line="250" w:lineRule="exact"/>
        <w:ind w:left="400" w:hanging="400"/>
        <w:jc w:val="both"/>
      </w:pPr>
      <w:r>
        <w:t>Doba splatnosti faktury je stanovena vzájemnou dohodou smluvních stran v délce 30 kalendářních dnů ode dne následujícího po dni doručení faktury kupujícímu. Za den doručení faktury se považuje den potvrzeného osobního předání faktury kupujícím nebo den potvrzeného doručení faktury poštou či kurýrní službou. Den uskutečněného zdanitelného plnění je den předání a převzetí zboží jako celku.</w:t>
      </w:r>
    </w:p>
    <w:p w:rsidR="0062350F" w:rsidRDefault="009F1858">
      <w:pPr>
        <w:pStyle w:val="Style7"/>
        <w:numPr>
          <w:ilvl w:val="0"/>
          <w:numId w:val="5"/>
        </w:numPr>
        <w:shd w:val="clear" w:color="auto" w:fill="auto"/>
        <w:tabs>
          <w:tab w:val="left" w:pos="358"/>
        </w:tabs>
        <w:spacing w:line="250" w:lineRule="exact"/>
        <w:ind w:left="400" w:hanging="400"/>
        <w:jc w:val="both"/>
      </w:pPr>
      <w:r>
        <w:t>Faktura prodávajícího musí mít náležitosti daňového a účetního dokladu, formou a obsahem musí odpovídat zákonu o účetnictví v platném znění a zákonu o dani z přidané hodnoty v platném znění a mít náležitosti obchodní listiny dle občanského zákoníku v platném znění.</w:t>
      </w:r>
    </w:p>
    <w:p w:rsidR="0062350F" w:rsidRDefault="009F1858">
      <w:pPr>
        <w:pStyle w:val="Style7"/>
        <w:numPr>
          <w:ilvl w:val="0"/>
          <w:numId w:val="5"/>
        </w:numPr>
        <w:shd w:val="clear" w:color="auto" w:fill="auto"/>
        <w:tabs>
          <w:tab w:val="left" w:pos="358"/>
        </w:tabs>
        <w:spacing w:line="250" w:lineRule="exact"/>
        <w:ind w:left="400" w:hanging="400"/>
        <w:jc w:val="both"/>
      </w:pPr>
      <w:r>
        <w:t>Kupující může fakturu vrátit, aniž by se tím dostal do prodlení s placením v případě, kdy obsahuje nesprávné nebo neúplné údaje nebo není podložena stanovenými doklady.</w:t>
      </w:r>
    </w:p>
    <w:p w:rsidR="0062350F" w:rsidRDefault="009F1858">
      <w:pPr>
        <w:pStyle w:val="Style7"/>
        <w:numPr>
          <w:ilvl w:val="0"/>
          <w:numId w:val="5"/>
        </w:numPr>
        <w:shd w:val="clear" w:color="auto" w:fill="auto"/>
        <w:tabs>
          <w:tab w:val="left" w:pos="358"/>
        </w:tabs>
        <w:spacing w:line="250" w:lineRule="exact"/>
        <w:ind w:left="400" w:hanging="400"/>
        <w:jc w:val="both"/>
      </w:pPr>
      <w:r>
        <w:t>Kupní cena bude kupujícím zaplacena bezhotovostním převodem na účet prodávajícího. Okamžikem zaplacení se rozumí datum odepsání příslušné částky z účtu kupujícího ve prospěch účtu prodávajícího.</w:t>
      </w:r>
    </w:p>
    <w:p w:rsidR="0062350F" w:rsidRDefault="009F1858">
      <w:pPr>
        <w:pStyle w:val="Style7"/>
        <w:shd w:val="clear" w:color="auto" w:fill="auto"/>
        <w:spacing w:line="234" w:lineRule="exact"/>
        <w:ind w:right="20" w:firstLine="0"/>
      </w:pPr>
      <w:r>
        <w:t>Článek VI.</w:t>
      </w:r>
    </w:p>
    <w:p w:rsidR="0062350F" w:rsidRDefault="009F1858">
      <w:pPr>
        <w:pStyle w:val="Style9"/>
        <w:keepNext/>
        <w:keepLines/>
        <w:shd w:val="clear" w:color="auto" w:fill="auto"/>
        <w:spacing w:before="0" w:after="244"/>
        <w:ind w:right="20" w:firstLine="0"/>
      </w:pPr>
      <w:bookmarkStart w:id="9" w:name="bookmark9"/>
      <w:r>
        <w:t>Smluvní pokuta</w:t>
      </w:r>
      <w:bookmarkEnd w:id="9"/>
    </w:p>
    <w:p w:rsidR="0062350F" w:rsidRDefault="009F1858">
      <w:pPr>
        <w:pStyle w:val="Style7"/>
        <w:numPr>
          <w:ilvl w:val="0"/>
          <w:numId w:val="6"/>
        </w:numPr>
        <w:shd w:val="clear" w:color="auto" w:fill="auto"/>
        <w:tabs>
          <w:tab w:val="left" w:pos="353"/>
        </w:tabs>
        <w:spacing w:line="254" w:lineRule="exact"/>
        <w:ind w:left="420"/>
        <w:jc w:val="both"/>
      </w:pPr>
      <w:r>
        <w:t>V případě, že kupující nedodrží dobu splatnosti faktur dle čl. V odst. 3 této smlouvy, má prodávající právo požadovat úrok z prodlení maximálně ve výši 0,05 % z dlužné částky.</w:t>
      </w:r>
    </w:p>
    <w:p w:rsidR="0062350F" w:rsidRDefault="009F1858">
      <w:pPr>
        <w:pStyle w:val="Style7"/>
        <w:numPr>
          <w:ilvl w:val="0"/>
          <w:numId w:val="6"/>
        </w:numPr>
        <w:shd w:val="clear" w:color="auto" w:fill="auto"/>
        <w:tabs>
          <w:tab w:val="left" w:pos="353"/>
        </w:tabs>
        <w:spacing w:after="776" w:line="254" w:lineRule="exact"/>
        <w:ind w:left="420"/>
        <w:jc w:val="both"/>
      </w:pPr>
      <w:r>
        <w:t xml:space="preserve">V případě, že prodávající nesplní dodání předmětu koupě v termínu uvedeném v čl. </w:t>
      </w:r>
      <w:r>
        <w:rPr>
          <w:lang w:val="en-US" w:eastAsia="en-US" w:bidi="en-US"/>
        </w:rPr>
        <w:t xml:space="preserve">III. </w:t>
      </w:r>
      <w:r>
        <w:t>smlouvy, má kupující právo požadovat od prodávajícího smluvní pokutu ve výši 0,05 % z celkové kupní ceny uvedené v příloze č. 1 Kupní smlouvy za každý i započatý den prodlení. Smluvní pokuta je splatná do 10 dnů ode dne doručení písemné výzvy k jejímu zaplacení.</w:t>
      </w:r>
    </w:p>
    <w:p w:rsidR="0062350F" w:rsidRDefault="009F1858">
      <w:pPr>
        <w:pStyle w:val="Style7"/>
        <w:shd w:val="clear" w:color="auto" w:fill="auto"/>
        <w:spacing w:line="234" w:lineRule="exact"/>
        <w:ind w:right="20" w:firstLine="0"/>
      </w:pPr>
      <w:r>
        <w:lastRenderedPageBreak/>
        <w:t>Článek VII.</w:t>
      </w:r>
    </w:p>
    <w:p w:rsidR="0062350F" w:rsidRDefault="009F1858">
      <w:pPr>
        <w:pStyle w:val="Style9"/>
        <w:keepNext/>
        <w:keepLines/>
        <w:shd w:val="clear" w:color="auto" w:fill="auto"/>
        <w:spacing w:before="0" w:after="240"/>
        <w:ind w:right="20" w:firstLine="0"/>
      </w:pPr>
      <w:bookmarkStart w:id="10" w:name="bookmark10"/>
      <w:r>
        <w:t>Přechod nebezpečí škody</w:t>
      </w:r>
      <w:bookmarkEnd w:id="10"/>
    </w:p>
    <w:p w:rsidR="0062350F" w:rsidRDefault="009F1858">
      <w:pPr>
        <w:pStyle w:val="Style7"/>
        <w:shd w:val="clear" w:color="auto" w:fill="auto"/>
        <w:spacing w:after="500"/>
        <w:ind w:firstLine="0"/>
        <w:jc w:val="both"/>
      </w:pPr>
      <w:r>
        <w:t>Nebezpečí škody na předmětu koupě přechází na kupujícího okamžikem jeho převzetí dle čl. IV. odst. 2 smlouvy.</w:t>
      </w:r>
    </w:p>
    <w:p w:rsidR="0062350F" w:rsidRDefault="009F1858">
      <w:pPr>
        <w:pStyle w:val="Style7"/>
        <w:shd w:val="clear" w:color="auto" w:fill="auto"/>
        <w:spacing w:line="234" w:lineRule="exact"/>
        <w:ind w:right="20" w:firstLine="0"/>
      </w:pPr>
      <w:r>
        <w:t>Článek Vlil.</w:t>
      </w:r>
    </w:p>
    <w:p w:rsidR="0062350F" w:rsidRDefault="009F1858">
      <w:pPr>
        <w:pStyle w:val="Style9"/>
        <w:keepNext/>
        <w:keepLines/>
        <w:shd w:val="clear" w:color="auto" w:fill="auto"/>
        <w:spacing w:before="0"/>
        <w:ind w:right="20" w:firstLine="0"/>
      </w:pPr>
      <w:bookmarkStart w:id="11" w:name="bookmark11"/>
      <w:r>
        <w:t>Nabytí vlastnického práva</w:t>
      </w:r>
      <w:bookmarkEnd w:id="11"/>
    </w:p>
    <w:p w:rsidR="0062350F" w:rsidRDefault="009F1858">
      <w:pPr>
        <w:pStyle w:val="Style7"/>
        <w:shd w:val="clear" w:color="auto" w:fill="auto"/>
        <w:spacing w:after="760" w:line="234" w:lineRule="exact"/>
        <w:ind w:left="420"/>
        <w:jc w:val="both"/>
      </w:pPr>
      <w:r>
        <w:t>Kupující nabývá vlastnické právo k předmětu koupě okamžikem jeho převzetí.</w:t>
      </w:r>
    </w:p>
    <w:p w:rsidR="0062350F" w:rsidRDefault="009F1858">
      <w:pPr>
        <w:pStyle w:val="Style7"/>
        <w:shd w:val="clear" w:color="auto" w:fill="auto"/>
        <w:spacing w:line="234" w:lineRule="exact"/>
        <w:ind w:right="20" w:firstLine="0"/>
      </w:pPr>
      <w:r>
        <w:t>Článek IX.</w:t>
      </w:r>
    </w:p>
    <w:p w:rsidR="0062350F" w:rsidRDefault="009F1858">
      <w:pPr>
        <w:pStyle w:val="Style9"/>
        <w:keepNext/>
        <w:keepLines/>
        <w:shd w:val="clear" w:color="auto" w:fill="auto"/>
        <w:spacing w:before="0" w:after="248"/>
        <w:ind w:right="20" w:firstLine="0"/>
      </w:pPr>
      <w:bookmarkStart w:id="12" w:name="bookmark12"/>
      <w:r>
        <w:t>Záruka za jakost</w:t>
      </w:r>
      <w:bookmarkEnd w:id="12"/>
    </w:p>
    <w:p w:rsidR="0062350F" w:rsidRDefault="009F1858">
      <w:pPr>
        <w:pStyle w:val="Style7"/>
        <w:shd w:val="clear" w:color="auto" w:fill="auto"/>
        <w:spacing w:after="773" w:line="250" w:lineRule="exact"/>
        <w:ind w:left="420"/>
        <w:jc w:val="both"/>
      </w:pPr>
      <w:r>
        <w:t>1. Předmět koupě bude po celou dobu záruční lhůty způsobilý k řádnému užívání a zachová si obvyklé vlastnosti. Při nedodržení této podmínky má kupující nárok na bezplatnou výměnu předmětu koupě, včetně bezplatné instalace a nového uvedení zařízení do provozu. Záruční doba je stanovena v délce 24 měsíců. Záruční doba začíná plynout od okamžiku předání zboží uživateli.</w:t>
      </w:r>
    </w:p>
    <w:p w:rsidR="0062350F" w:rsidRDefault="009F1858">
      <w:pPr>
        <w:pStyle w:val="Style7"/>
        <w:shd w:val="clear" w:color="auto" w:fill="auto"/>
        <w:spacing w:line="234" w:lineRule="exact"/>
        <w:ind w:right="20" w:firstLine="0"/>
      </w:pPr>
      <w:r>
        <w:t>Článek X.</w:t>
      </w:r>
    </w:p>
    <w:p w:rsidR="0062350F" w:rsidRDefault="009F1858">
      <w:pPr>
        <w:pStyle w:val="Style9"/>
        <w:keepNext/>
        <w:keepLines/>
        <w:shd w:val="clear" w:color="auto" w:fill="auto"/>
        <w:spacing w:before="0" w:after="244"/>
        <w:ind w:right="20" w:firstLine="0"/>
      </w:pPr>
      <w:bookmarkStart w:id="13" w:name="bookmark13"/>
      <w:r>
        <w:t>Odstoupení od smlouvy</w:t>
      </w:r>
      <w:bookmarkEnd w:id="13"/>
    </w:p>
    <w:p w:rsidR="0062350F" w:rsidRDefault="009F1858">
      <w:pPr>
        <w:pStyle w:val="Style7"/>
        <w:shd w:val="clear" w:color="auto" w:fill="auto"/>
        <w:spacing w:line="254" w:lineRule="exact"/>
        <w:ind w:left="420"/>
        <w:jc w:val="both"/>
      </w:pPr>
      <w:r>
        <w:t>Kromě důvodů stanovených občanským zákoníkem lze od této smlouvy jednostranně odstoupit</w:t>
      </w:r>
    </w:p>
    <w:p w:rsidR="0062350F" w:rsidRDefault="009F1858">
      <w:pPr>
        <w:pStyle w:val="Style7"/>
        <w:shd w:val="clear" w:color="auto" w:fill="auto"/>
        <w:spacing w:line="254" w:lineRule="exact"/>
        <w:ind w:left="420"/>
        <w:jc w:val="both"/>
      </w:pPr>
      <w:r>
        <w:t>v následujících případech:</w:t>
      </w:r>
    </w:p>
    <w:p w:rsidR="0062350F" w:rsidRDefault="009F1858">
      <w:pPr>
        <w:pStyle w:val="Style7"/>
        <w:numPr>
          <w:ilvl w:val="0"/>
          <w:numId w:val="7"/>
        </w:numPr>
        <w:shd w:val="clear" w:color="auto" w:fill="auto"/>
        <w:tabs>
          <w:tab w:val="left" w:pos="353"/>
        </w:tabs>
        <w:spacing w:line="254" w:lineRule="exact"/>
        <w:ind w:left="420"/>
        <w:jc w:val="both"/>
      </w:pPr>
      <w:r>
        <w:t>Prodávající v případě, že na straně kupujícího dojde k prodlení s platbou delší než 30 dnů po splatnosti a pokud kupující nesjedná nápravu do 7 dnů, přestože bude prodávajícím na tuto skutečnost prokazatelně upozorněn.</w:t>
      </w:r>
    </w:p>
    <w:p w:rsidR="0062350F" w:rsidRDefault="009F1858">
      <w:pPr>
        <w:pStyle w:val="Style7"/>
        <w:numPr>
          <w:ilvl w:val="0"/>
          <w:numId w:val="7"/>
        </w:numPr>
        <w:shd w:val="clear" w:color="auto" w:fill="auto"/>
        <w:tabs>
          <w:tab w:val="left" w:pos="353"/>
        </w:tabs>
        <w:spacing w:line="254" w:lineRule="exact"/>
        <w:ind w:left="420"/>
        <w:jc w:val="both"/>
      </w:pPr>
      <w:r>
        <w:t>Kupující v případě, že na straně prodávajícího dojde k neplnění předmětu této smlouvy v termínech a kvalitě dle příslušných ustanovení této smlouvy a pokud prodávající nesjedná do 7 dnů nápravu, přestože bude kupujícím na tuto skutečnost prokazatelně upozorněn.</w:t>
      </w:r>
      <w:r>
        <w:br w:type="page"/>
      </w:r>
    </w:p>
    <w:p w:rsidR="0062350F" w:rsidRDefault="009F1858">
      <w:pPr>
        <w:pStyle w:val="Style7"/>
        <w:shd w:val="clear" w:color="auto" w:fill="auto"/>
        <w:spacing w:line="234" w:lineRule="exact"/>
        <w:ind w:right="20" w:firstLine="0"/>
      </w:pPr>
      <w:bookmarkStart w:id="14" w:name="_GoBack"/>
      <w:bookmarkEnd w:id="14"/>
      <w:r>
        <w:lastRenderedPageBreak/>
        <w:t>Článek XI.</w:t>
      </w:r>
    </w:p>
    <w:p w:rsidR="0062350F" w:rsidRDefault="009F1858">
      <w:pPr>
        <w:pStyle w:val="Style13"/>
        <w:shd w:val="clear" w:color="auto" w:fill="auto"/>
        <w:spacing w:after="251"/>
        <w:ind w:right="20"/>
      </w:pPr>
      <w:r>
        <w:t>Závěrečná ustanovení</w:t>
      </w:r>
    </w:p>
    <w:p w:rsidR="0062350F" w:rsidRDefault="009F1858">
      <w:pPr>
        <w:pStyle w:val="Style7"/>
        <w:numPr>
          <w:ilvl w:val="0"/>
          <w:numId w:val="8"/>
        </w:numPr>
        <w:shd w:val="clear" w:color="auto" w:fill="auto"/>
        <w:tabs>
          <w:tab w:val="left" w:pos="356"/>
        </w:tabs>
        <w:spacing w:line="245" w:lineRule="exact"/>
        <w:ind w:left="400" w:hanging="400"/>
        <w:jc w:val="both"/>
      </w:pPr>
      <w:r>
        <w:t>Tato smlouva se vyhotovuje ve dvou vyhotoveních, jedno pro kupujícího a jedno pro prodávajícího.</w:t>
      </w:r>
    </w:p>
    <w:p w:rsidR="0062350F" w:rsidRDefault="009F1858">
      <w:pPr>
        <w:pStyle w:val="Style7"/>
        <w:numPr>
          <w:ilvl w:val="0"/>
          <w:numId w:val="8"/>
        </w:numPr>
        <w:shd w:val="clear" w:color="auto" w:fill="auto"/>
        <w:tabs>
          <w:tab w:val="left" w:pos="356"/>
        </w:tabs>
        <w:spacing w:line="245" w:lineRule="exact"/>
        <w:ind w:left="400" w:hanging="400"/>
        <w:jc w:val="both"/>
      </w:pPr>
      <w:r>
        <w:t>Nedílnou součástí smlouvy je příloha č. 1.</w:t>
      </w:r>
    </w:p>
    <w:p w:rsidR="0062350F" w:rsidRDefault="009F1858">
      <w:pPr>
        <w:pStyle w:val="Style7"/>
        <w:numPr>
          <w:ilvl w:val="0"/>
          <w:numId w:val="8"/>
        </w:numPr>
        <w:shd w:val="clear" w:color="auto" w:fill="auto"/>
        <w:tabs>
          <w:tab w:val="left" w:pos="356"/>
        </w:tabs>
        <w:spacing w:line="245" w:lineRule="exact"/>
        <w:ind w:left="400" w:hanging="400"/>
        <w:jc w:val="both"/>
      </w:pPr>
      <w:r>
        <w:t>Jakékoliv změny nebo doplňky této smlouvy nebo přílohy ke smlouvě musí být provedeny formou písemných, chronologicky číslovaných dodatků, podepsaných oběma smluvními stranami.</w:t>
      </w:r>
    </w:p>
    <w:p w:rsidR="0062350F" w:rsidRDefault="009F1858">
      <w:pPr>
        <w:pStyle w:val="Style7"/>
        <w:numPr>
          <w:ilvl w:val="0"/>
          <w:numId w:val="8"/>
        </w:numPr>
        <w:shd w:val="clear" w:color="auto" w:fill="auto"/>
        <w:tabs>
          <w:tab w:val="left" w:pos="356"/>
        </w:tabs>
        <w:spacing w:line="245" w:lineRule="exact"/>
        <w:ind w:left="400" w:hanging="400"/>
        <w:jc w:val="both"/>
      </w:pPr>
      <w:r>
        <w:t>Smluvní strany prohlašují, že si tuto smlouvu přečetly, že se dohodly na celém jejím obsahu, že se smluvními podmínkami souhlasí a že smlouva nebyla podepsána v tísni ani za nápadně jednostranně nevýhodných podmínek.</w:t>
      </w:r>
    </w:p>
    <w:p w:rsidR="0062350F" w:rsidRDefault="009F1858">
      <w:pPr>
        <w:pStyle w:val="Style7"/>
        <w:numPr>
          <w:ilvl w:val="0"/>
          <w:numId w:val="8"/>
        </w:numPr>
        <w:shd w:val="clear" w:color="auto" w:fill="auto"/>
        <w:tabs>
          <w:tab w:val="left" w:pos="356"/>
        </w:tabs>
        <w:spacing w:after="1289" w:line="245" w:lineRule="exact"/>
        <w:ind w:left="400" w:hanging="400"/>
        <w:jc w:val="both"/>
      </w:pPr>
      <w:r>
        <w:t>Právní vztahy touto smlouvou výslovně neupravené se řídí příslušnými ustanoveními občanského zákoníku.</w:t>
      </w:r>
    </w:p>
    <w:p w:rsidR="0062350F" w:rsidRDefault="009F1858">
      <w:pPr>
        <w:pStyle w:val="Style7"/>
        <w:shd w:val="clear" w:color="auto" w:fill="auto"/>
        <w:tabs>
          <w:tab w:val="left" w:pos="4632"/>
        </w:tabs>
        <w:spacing w:line="234" w:lineRule="exact"/>
        <w:ind w:left="400" w:hanging="400"/>
        <w:jc w:val="both"/>
        <w:sectPr w:rsidR="0062350F">
          <w:footerReference w:type="default" r:id="rId8"/>
          <w:pgSz w:w="11909" w:h="16838"/>
          <w:pgMar w:top="1552" w:right="1245" w:bottom="1538" w:left="1370" w:header="0" w:footer="3" w:gutter="0"/>
          <w:cols w:space="720"/>
          <w:noEndnote/>
          <w:docGrid w:linePitch="360"/>
        </w:sectPr>
      </w:pPr>
      <w:r>
        <w:t>V Modřících dne 27.7.2017</w:t>
      </w:r>
      <w:r>
        <w:tab/>
        <w:t>V Praze dne</w:t>
      </w:r>
    </w:p>
    <w:p w:rsidR="0062350F" w:rsidRDefault="0062350F">
      <w:pPr>
        <w:spacing w:line="240" w:lineRule="exact"/>
        <w:rPr>
          <w:sz w:val="19"/>
          <w:szCs w:val="19"/>
        </w:rPr>
      </w:pPr>
    </w:p>
    <w:p w:rsidR="0062350F" w:rsidRDefault="0062350F">
      <w:pPr>
        <w:spacing w:before="34" w:after="34" w:line="240" w:lineRule="exact"/>
        <w:rPr>
          <w:sz w:val="19"/>
          <w:szCs w:val="19"/>
        </w:rPr>
      </w:pPr>
    </w:p>
    <w:p w:rsidR="0062350F" w:rsidRDefault="0062350F">
      <w:pPr>
        <w:rPr>
          <w:sz w:val="2"/>
          <w:szCs w:val="2"/>
        </w:rPr>
        <w:sectPr w:rsidR="0062350F">
          <w:type w:val="continuous"/>
          <w:pgSz w:w="11909" w:h="16838"/>
          <w:pgMar w:top="1496" w:right="0" w:bottom="1102" w:left="0" w:header="0" w:footer="3" w:gutter="0"/>
          <w:cols w:space="720"/>
          <w:noEndnote/>
          <w:docGrid w:linePitch="360"/>
        </w:sectPr>
      </w:pPr>
    </w:p>
    <w:p w:rsidR="0062350F" w:rsidRDefault="001A23E8">
      <w:pPr>
        <w:spacing w:line="360" w:lineRule="exact"/>
      </w:pPr>
      <w:r>
        <w:lastRenderedPageBreak/>
        <w:pict>
          <v:shapetype id="_x0000_t202" coordsize="21600,21600" o:spt="202" path="m,l,21600r21600,l21600,xe">
            <v:stroke joinstyle="miter"/>
            <v:path gradientshapeok="t" o:connecttype="rect"/>
          </v:shapetype>
          <v:shape id="_x0000_s1032" type="#_x0000_t202" style="position:absolute;margin-left:.35pt;margin-top:9.35pt;width:114.5pt;height:61.45pt;z-index:251655168;mso-wrap-distance-left:5pt;mso-wrap-distance-right:5pt;mso-position-horizontal-relative:margin" wrapcoords="0 0 21600 0 21600 21600 0 21600 0 0" filled="f" stroked="f">
            <v:textbox style="mso-fit-shape-to-text:t" inset="0,0,0,0">
              <w:txbxContent>
                <w:p w:rsidR="0062350F" w:rsidRDefault="0062350F">
                  <w:pPr>
                    <w:jc w:val="center"/>
                    <w:rPr>
                      <w:sz w:val="2"/>
                      <w:szCs w:val="2"/>
                    </w:rPr>
                  </w:pPr>
                </w:p>
                <w:p w:rsidR="0062350F" w:rsidRDefault="009F1858">
                  <w:pPr>
                    <w:pStyle w:val="Style15"/>
                    <w:shd w:val="clear" w:color="auto" w:fill="auto"/>
                  </w:pPr>
                  <w:r>
                    <w:t>jednatel</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4.3pt;margin-top:0;width:21.35pt;height:16.3pt;z-index:-251660288;mso-wrap-distance-left:5pt;mso-wrap-distance-right:5pt;mso-position-horizontal-relative:margin" wrapcoords="0 0">
            <v:imagedata r:id="rId9" o:title="image2"/>
            <w10:wrap anchorx="margin"/>
          </v:shape>
        </w:pict>
      </w:r>
    </w:p>
    <w:p w:rsidR="0062350F" w:rsidRDefault="0062350F">
      <w:pPr>
        <w:spacing w:line="360" w:lineRule="exact"/>
      </w:pPr>
    </w:p>
    <w:p w:rsidR="0062350F" w:rsidRDefault="0062350F">
      <w:pPr>
        <w:spacing w:line="360" w:lineRule="exact"/>
      </w:pPr>
    </w:p>
    <w:p w:rsidR="0062350F" w:rsidRDefault="0062350F">
      <w:pPr>
        <w:spacing w:line="360" w:lineRule="exact"/>
      </w:pPr>
    </w:p>
    <w:p w:rsidR="0062350F" w:rsidRDefault="0062350F">
      <w:pPr>
        <w:spacing w:line="360" w:lineRule="exact"/>
      </w:pPr>
    </w:p>
    <w:p w:rsidR="0062350F" w:rsidRDefault="0062350F">
      <w:pPr>
        <w:spacing w:line="360" w:lineRule="exact"/>
      </w:pPr>
    </w:p>
    <w:p w:rsidR="0062350F" w:rsidRDefault="0062350F">
      <w:pPr>
        <w:spacing w:line="360" w:lineRule="exact"/>
      </w:pPr>
    </w:p>
    <w:p w:rsidR="0062350F" w:rsidRDefault="0062350F">
      <w:pPr>
        <w:spacing w:line="717" w:lineRule="exact"/>
      </w:pPr>
    </w:p>
    <w:p w:rsidR="0062350F" w:rsidRDefault="0062350F">
      <w:pPr>
        <w:rPr>
          <w:sz w:val="2"/>
          <w:szCs w:val="2"/>
        </w:rPr>
        <w:sectPr w:rsidR="0062350F">
          <w:type w:val="continuous"/>
          <w:pgSz w:w="11909" w:h="16838"/>
          <w:pgMar w:top="1496" w:right="1269" w:bottom="1102" w:left="1346" w:header="0" w:footer="3" w:gutter="0"/>
          <w:cols w:space="720"/>
          <w:noEndnote/>
          <w:docGrid w:linePitch="360"/>
        </w:sectPr>
      </w:pPr>
    </w:p>
    <w:p w:rsidR="0062350F" w:rsidRDefault="009F1858">
      <w:pPr>
        <w:pStyle w:val="Style18"/>
        <w:shd w:val="clear" w:color="auto" w:fill="auto"/>
        <w:spacing w:after="531"/>
      </w:pPr>
      <w:r>
        <w:rPr>
          <w:rStyle w:val="CharStyle20"/>
        </w:rPr>
        <w:lastRenderedPageBreak/>
        <w:t xml:space="preserve">Příloha č. </w:t>
      </w:r>
      <w:r>
        <w:t>1 Kupní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47"/>
        <w:gridCol w:w="744"/>
        <w:gridCol w:w="1651"/>
        <w:gridCol w:w="1651"/>
        <w:gridCol w:w="1714"/>
        <w:gridCol w:w="1853"/>
      </w:tblGrid>
      <w:tr w:rsidR="0062350F">
        <w:trPr>
          <w:trHeight w:hRule="exact" w:val="562"/>
          <w:jc w:val="center"/>
        </w:trPr>
        <w:tc>
          <w:tcPr>
            <w:tcW w:w="6547" w:type="dxa"/>
            <w:tcBorders>
              <w:top w:val="single" w:sz="4" w:space="0" w:color="auto"/>
              <w:left w:val="single" w:sz="4" w:space="0" w:color="auto"/>
            </w:tcBorders>
            <w:shd w:val="clear" w:color="auto" w:fill="FFFFFF"/>
          </w:tcPr>
          <w:p w:rsidR="0062350F" w:rsidRDefault="009F1858">
            <w:pPr>
              <w:pStyle w:val="Style7"/>
              <w:framePr w:w="14160" w:wrap="notBeside" w:vAnchor="text" w:hAnchor="text" w:xAlign="center" w:y="1"/>
              <w:shd w:val="clear" w:color="auto" w:fill="auto"/>
              <w:spacing w:line="234" w:lineRule="exact"/>
              <w:ind w:right="20" w:firstLine="0"/>
            </w:pPr>
            <w:r>
              <w:rPr>
                <w:rStyle w:val="CharStyle21"/>
              </w:rPr>
              <w:t>Název zboží</w:t>
            </w:r>
          </w:p>
        </w:tc>
        <w:tc>
          <w:tcPr>
            <w:tcW w:w="744" w:type="dxa"/>
            <w:tcBorders>
              <w:top w:val="single" w:sz="4" w:space="0" w:color="auto"/>
              <w:lef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34" w:lineRule="exact"/>
              <w:ind w:firstLine="0"/>
              <w:jc w:val="left"/>
            </w:pPr>
            <w:r>
              <w:rPr>
                <w:rStyle w:val="CharStyle21"/>
              </w:rPr>
              <w:t>Počet</w:t>
            </w:r>
          </w:p>
          <w:p w:rsidR="0062350F" w:rsidRDefault="009F1858">
            <w:pPr>
              <w:pStyle w:val="Style7"/>
              <w:framePr w:w="14160" w:wrap="notBeside" w:vAnchor="text" w:hAnchor="text" w:xAlign="center" w:y="1"/>
              <w:shd w:val="clear" w:color="auto" w:fill="auto"/>
              <w:spacing w:line="234" w:lineRule="exact"/>
              <w:ind w:firstLine="0"/>
              <w:jc w:val="left"/>
            </w:pPr>
            <w:r>
              <w:rPr>
                <w:rStyle w:val="CharStyle21"/>
              </w:rPr>
              <w:t>Kusů</w:t>
            </w:r>
          </w:p>
        </w:tc>
        <w:tc>
          <w:tcPr>
            <w:tcW w:w="1651" w:type="dxa"/>
            <w:tcBorders>
              <w:top w:val="single" w:sz="4" w:space="0" w:color="auto"/>
              <w:lef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54" w:lineRule="exact"/>
              <w:ind w:right="20" w:firstLine="0"/>
            </w:pPr>
            <w:r>
              <w:rPr>
                <w:rStyle w:val="CharStyle21"/>
              </w:rPr>
              <w:t>Cena za kus bez DPH</w:t>
            </w:r>
          </w:p>
        </w:tc>
        <w:tc>
          <w:tcPr>
            <w:tcW w:w="1651" w:type="dxa"/>
            <w:tcBorders>
              <w:top w:val="single" w:sz="4" w:space="0" w:color="auto"/>
              <w:lef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ind w:left="220" w:right="220" w:firstLine="0"/>
              <w:jc w:val="both"/>
            </w:pPr>
            <w:r>
              <w:rPr>
                <w:rStyle w:val="CharStyle21"/>
              </w:rPr>
              <w:t>Cena za kus včetně DPH</w:t>
            </w:r>
          </w:p>
        </w:tc>
        <w:tc>
          <w:tcPr>
            <w:tcW w:w="1714" w:type="dxa"/>
            <w:tcBorders>
              <w:top w:val="single" w:sz="4" w:space="0" w:color="auto"/>
              <w:lef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54" w:lineRule="exact"/>
              <w:ind w:firstLine="0"/>
            </w:pPr>
            <w:r>
              <w:rPr>
                <w:rStyle w:val="CharStyle22"/>
              </w:rPr>
              <w:t>Cena celkem bez DPH</w:t>
            </w:r>
          </w:p>
        </w:tc>
        <w:tc>
          <w:tcPr>
            <w:tcW w:w="1853" w:type="dxa"/>
            <w:tcBorders>
              <w:top w:val="single" w:sz="4" w:space="0" w:color="auto"/>
              <w:left w:val="single" w:sz="4" w:space="0" w:color="auto"/>
              <w:righ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54" w:lineRule="exact"/>
              <w:ind w:left="300" w:firstLine="0"/>
              <w:jc w:val="left"/>
            </w:pPr>
            <w:r>
              <w:rPr>
                <w:rStyle w:val="CharStyle21"/>
              </w:rPr>
              <w:t>Cena celkem včetně DPH</w:t>
            </w:r>
          </w:p>
        </w:tc>
      </w:tr>
      <w:tr w:rsidR="0062350F">
        <w:trPr>
          <w:trHeight w:hRule="exact" w:val="274"/>
          <w:jc w:val="center"/>
        </w:trPr>
        <w:tc>
          <w:tcPr>
            <w:tcW w:w="6547" w:type="dxa"/>
            <w:tcBorders>
              <w:top w:val="single" w:sz="4" w:space="0" w:color="auto"/>
              <w:lef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34" w:lineRule="exact"/>
              <w:ind w:firstLine="0"/>
              <w:jc w:val="left"/>
            </w:pPr>
            <w:r>
              <w:rPr>
                <w:rStyle w:val="CharStyle21"/>
              </w:rPr>
              <w:t>Myčka podložních mís, typ BP 100 M</w:t>
            </w:r>
          </w:p>
        </w:tc>
        <w:tc>
          <w:tcPr>
            <w:tcW w:w="744" w:type="dxa"/>
            <w:tcBorders>
              <w:top w:val="single" w:sz="4" w:space="0" w:color="auto"/>
              <w:lef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34" w:lineRule="exact"/>
              <w:ind w:firstLine="0"/>
            </w:pPr>
            <w:r>
              <w:rPr>
                <w:rStyle w:val="CharStyle22"/>
              </w:rPr>
              <w:t>2</w:t>
            </w:r>
          </w:p>
        </w:tc>
        <w:tc>
          <w:tcPr>
            <w:tcW w:w="1651" w:type="dxa"/>
            <w:tcBorders>
              <w:top w:val="single" w:sz="4" w:space="0" w:color="auto"/>
              <w:lef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34" w:lineRule="exact"/>
              <w:ind w:left="220" w:firstLine="0"/>
              <w:jc w:val="left"/>
            </w:pPr>
            <w:r>
              <w:rPr>
                <w:rStyle w:val="CharStyle22"/>
              </w:rPr>
              <w:t>105 000,- Kč</w:t>
            </w:r>
          </w:p>
        </w:tc>
        <w:tc>
          <w:tcPr>
            <w:tcW w:w="1651" w:type="dxa"/>
            <w:tcBorders>
              <w:top w:val="single" w:sz="4" w:space="0" w:color="auto"/>
              <w:lef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34" w:lineRule="exact"/>
              <w:ind w:left="220" w:firstLine="0"/>
              <w:jc w:val="both"/>
            </w:pPr>
            <w:r>
              <w:rPr>
                <w:rStyle w:val="CharStyle22"/>
              </w:rPr>
              <w:t>127 050,- Kč</w:t>
            </w:r>
          </w:p>
        </w:tc>
        <w:tc>
          <w:tcPr>
            <w:tcW w:w="1714" w:type="dxa"/>
            <w:tcBorders>
              <w:top w:val="single" w:sz="4" w:space="0" w:color="auto"/>
              <w:lef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34" w:lineRule="exact"/>
              <w:ind w:left="220" w:firstLine="0"/>
              <w:jc w:val="left"/>
            </w:pPr>
            <w:r>
              <w:rPr>
                <w:rStyle w:val="CharStyle22"/>
              </w:rPr>
              <w:t>210 000,-Kč</w:t>
            </w:r>
          </w:p>
        </w:tc>
        <w:tc>
          <w:tcPr>
            <w:tcW w:w="1853" w:type="dxa"/>
            <w:tcBorders>
              <w:top w:val="single" w:sz="4" w:space="0" w:color="auto"/>
              <w:left w:val="single" w:sz="4" w:space="0" w:color="auto"/>
              <w:right w:val="single" w:sz="4" w:space="0" w:color="auto"/>
            </w:tcBorders>
            <w:shd w:val="clear" w:color="auto" w:fill="FFFFFF"/>
            <w:vAlign w:val="bottom"/>
          </w:tcPr>
          <w:p w:rsidR="0062350F" w:rsidRDefault="009F1858">
            <w:pPr>
              <w:pStyle w:val="Style7"/>
              <w:framePr w:w="14160" w:wrap="notBeside" w:vAnchor="text" w:hAnchor="text" w:xAlign="center" w:y="1"/>
              <w:shd w:val="clear" w:color="auto" w:fill="auto"/>
              <w:spacing w:line="234" w:lineRule="exact"/>
              <w:ind w:left="300" w:firstLine="0"/>
              <w:jc w:val="left"/>
            </w:pPr>
            <w:r>
              <w:rPr>
                <w:rStyle w:val="CharStyle22"/>
              </w:rPr>
              <w:t>254 100,- Kč</w:t>
            </w:r>
          </w:p>
        </w:tc>
      </w:tr>
      <w:tr w:rsidR="0062350F">
        <w:trPr>
          <w:trHeight w:hRule="exact" w:val="264"/>
          <w:jc w:val="center"/>
        </w:trPr>
        <w:tc>
          <w:tcPr>
            <w:tcW w:w="6547"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651"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651"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714"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853" w:type="dxa"/>
            <w:tcBorders>
              <w:top w:val="single" w:sz="4" w:space="0" w:color="auto"/>
              <w:left w:val="single" w:sz="4" w:space="0" w:color="auto"/>
              <w:right w:val="single" w:sz="4" w:space="0" w:color="auto"/>
            </w:tcBorders>
            <w:shd w:val="clear" w:color="auto" w:fill="FFFFFF"/>
          </w:tcPr>
          <w:p w:rsidR="0062350F" w:rsidRDefault="0062350F">
            <w:pPr>
              <w:framePr w:w="14160" w:wrap="notBeside" w:vAnchor="text" w:hAnchor="text" w:xAlign="center" w:y="1"/>
              <w:rPr>
                <w:sz w:val="10"/>
                <w:szCs w:val="10"/>
              </w:rPr>
            </w:pPr>
          </w:p>
        </w:tc>
      </w:tr>
      <w:tr w:rsidR="0062350F">
        <w:trPr>
          <w:trHeight w:hRule="exact" w:val="259"/>
          <w:jc w:val="center"/>
        </w:trPr>
        <w:tc>
          <w:tcPr>
            <w:tcW w:w="6547"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651"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651"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714"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853" w:type="dxa"/>
            <w:tcBorders>
              <w:top w:val="single" w:sz="4" w:space="0" w:color="auto"/>
              <w:left w:val="single" w:sz="4" w:space="0" w:color="auto"/>
              <w:right w:val="single" w:sz="4" w:space="0" w:color="auto"/>
            </w:tcBorders>
            <w:shd w:val="clear" w:color="auto" w:fill="FFFFFF"/>
          </w:tcPr>
          <w:p w:rsidR="0062350F" w:rsidRDefault="0062350F">
            <w:pPr>
              <w:framePr w:w="14160" w:wrap="notBeside" w:vAnchor="text" w:hAnchor="text" w:xAlign="center" w:y="1"/>
              <w:rPr>
                <w:sz w:val="10"/>
                <w:szCs w:val="10"/>
              </w:rPr>
            </w:pPr>
          </w:p>
        </w:tc>
      </w:tr>
      <w:tr w:rsidR="0062350F">
        <w:trPr>
          <w:trHeight w:hRule="exact" w:val="264"/>
          <w:jc w:val="center"/>
        </w:trPr>
        <w:tc>
          <w:tcPr>
            <w:tcW w:w="6547"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651"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651"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714" w:type="dxa"/>
            <w:tcBorders>
              <w:top w:val="single" w:sz="4" w:space="0" w:color="auto"/>
              <w:left w:val="single" w:sz="4" w:space="0" w:color="auto"/>
            </w:tcBorders>
            <w:shd w:val="clear" w:color="auto" w:fill="FFFFFF"/>
          </w:tcPr>
          <w:p w:rsidR="0062350F" w:rsidRDefault="0062350F">
            <w:pPr>
              <w:framePr w:w="14160" w:wrap="notBeside" w:vAnchor="text" w:hAnchor="text" w:xAlign="center" w:y="1"/>
              <w:rPr>
                <w:sz w:val="10"/>
                <w:szCs w:val="10"/>
              </w:rPr>
            </w:pPr>
          </w:p>
        </w:tc>
        <w:tc>
          <w:tcPr>
            <w:tcW w:w="1853" w:type="dxa"/>
            <w:tcBorders>
              <w:top w:val="single" w:sz="4" w:space="0" w:color="auto"/>
              <w:left w:val="single" w:sz="4" w:space="0" w:color="auto"/>
              <w:right w:val="single" w:sz="4" w:space="0" w:color="auto"/>
            </w:tcBorders>
            <w:shd w:val="clear" w:color="auto" w:fill="FFFFFF"/>
          </w:tcPr>
          <w:p w:rsidR="0062350F" w:rsidRDefault="0062350F">
            <w:pPr>
              <w:framePr w:w="14160" w:wrap="notBeside" w:vAnchor="text" w:hAnchor="text" w:xAlign="center" w:y="1"/>
              <w:rPr>
                <w:sz w:val="10"/>
                <w:szCs w:val="10"/>
              </w:rPr>
            </w:pPr>
          </w:p>
        </w:tc>
      </w:tr>
      <w:tr w:rsidR="0062350F">
        <w:trPr>
          <w:trHeight w:hRule="exact" w:val="538"/>
          <w:jc w:val="center"/>
        </w:trPr>
        <w:tc>
          <w:tcPr>
            <w:tcW w:w="10593" w:type="dxa"/>
            <w:gridSpan w:val="4"/>
            <w:tcBorders>
              <w:top w:val="single" w:sz="4" w:space="0" w:color="auto"/>
              <w:left w:val="single" w:sz="4" w:space="0" w:color="auto"/>
              <w:bottom w:val="single" w:sz="4" w:space="0" w:color="auto"/>
            </w:tcBorders>
            <w:shd w:val="clear" w:color="auto" w:fill="FFFFFF"/>
            <w:vAlign w:val="center"/>
          </w:tcPr>
          <w:p w:rsidR="0062350F" w:rsidRDefault="009F1858">
            <w:pPr>
              <w:pStyle w:val="Style7"/>
              <w:framePr w:w="14160" w:wrap="notBeside" w:vAnchor="text" w:hAnchor="text" w:xAlign="center" w:y="1"/>
              <w:shd w:val="clear" w:color="auto" w:fill="auto"/>
              <w:spacing w:line="234" w:lineRule="exact"/>
              <w:ind w:firstLine="0"/>
              <w:jc w:val="left"/>
            </w:pPr>
            <w:r>
              <w:rPr>
                <w:rStyle w:val="CharStyle21"/>
              </w:rPr>
              <w:t>Celkem</w:t>
            </w:r>
          </w:p>
        </w:tc>
        <w:tc>
          <w:tcPr>
            <w:tcW w:w="1714" w:type="dxa"/>
            <w:tcBorders>
              <w:top w:val="single" w:sz="4" w:space="0" w:color="auto"/>
              <w:left w:val="single" w:sz="4" w:space="0" w:color="auto"/>
              <w:bottom w:val="single" w:sz="4" w:space="0" w:color="auto"/>
            </w:tcBorders>
            <w:shd w:val="clear" w:color="auto" w:fill="FFFFFF"/>
            <w:vAlign w:val="center"/>
          </w:tcPr>
          <w:p w:rsidR="0062350F" w:rsidRDefault="009F1858">
            <w:pPr>
              <w:pStyle w:val="Style7"/>
              <w:framePr w:w="14160" w:wrap="notBeside" w:vAnchor="text" w:hAnchor="text" w:xAlign="center" w:y="1"/>
              <w:shd w:val="clear" w:color="auto" w:fill="auto"/>
              <w:spacing w:line="234" w:lineRule="exact"/>
              <w:ind w:left="220" w:firstLine="0"/>
              <w:jc w:val="left"/>
            </w:pPr>
            <w:r>
              <w:rPr>
                <w:rStyle w:val="CharStyle22"/>
              </w:rPr>
              <w:t>210 000,- Kč</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62350F" w:rsidRDefault="009F1858">
            <w:pPr>
              <w:pStyle w:val="Style7"/>
              <w:framePr w:w="14160" w:wrap="notBeside" w:vAnchor="text" w:hAnchor="text" w:xAlign="center" w:y="1"/>
              <w:shd w:val="clear" w:color="auto" w:fill="auto"/>
              <w:spacing w:line="234" w:lineRule="exact"/>
              <w:ind w:left="300" w:firstLine="0"/>
              <w:jc w:val="left"/>
            </w:pPr>
            <w:r>
              <w:rPr>
                <w:rStyle w:val="CharStyle21"/>
              </w:rPr>
              <w:t>254 100,- Kč</w:t>
            </w:r>
          </w:p>
        </w:tc>
      </w:tr>
    </w:tbl>
    <w:p w:rsidR="0062350F" w:rsidRDefault="0062350F">
      <w:pPr>
        <w:framePr w:w="14160" w:wrap="notBeside" w:vAnchor="text" w:hAnchor="text" w:xAlign="center" w:y="1"/>
        <w:rPr>
          <w:sz w:val="2"/>
          <w:szCs w:val="2"/>
        </w:rPr>
      </w:pPr>
    </w:p>
    <w:p w:rsidR="0062350F" w:rsidRDefault="0062350F">
      <w:pPr>
        <w:rPr>
          <w:sz w:val="2"/>
          <w:szCs w:val="2"/>
        </w:rPr>
      </w:pPr>
    </w:p>
    <w:p w:rsidR="0062350F" w:rsidRDefault="009F1858">
      <w:pPr>
        <w:pStyle w:val="Style18"/>
        <w:shd w:val="clear" w:color="auto" w:fill="auto"/>
        <w:spacing w:before="6341" w:after="0"/>
        <w:ind w:right="20"/>
        <w:jc w:val="center"/>
        <w:sectPr w:rsidR="0062350F">
          <w:footerReference w:type="default" r:id="rId10"/>
          <w:pgSz w:w="16838" w:h="11909" w:orient="landscape"/>
          <w:pgMar w:top="1416" w:right="1387" w:bottom="894" w:left="1291" w:header="0" w:footer="3" w:gutter="0"/>
          <w:cols w:space="720"/>
          <w:noEndnote/>
          <w:docGrid w:linePitch="360"/>
        </w:sectPr>
      </w:pPr>
      <w:r>
        <w:t>5/5</w:t>
      </w:r>
    </w:p>
    <w:p w:rsidR="0062350F" w:rsidRDefault="009F1858">
      <w:pPr>
        <w:framePr w:h="16680" w:wrap="notBeside" w:vAnchor="text" w:hAnchor="text" w:xAlign="center" w:y="1"/>
        <w:jc w:val="center"/>
        <w:rPr>
          <w:sz w:val="2"/>
          <w:szCs w:val="2"/>
        </w:rPr>
      </w:pPr>
      <w:r>
        <w:lastRenderedPageBreak/>
        <w:fldChar w:fldCharType="begin"/>
      </w:r>
      <w:r>
        <w:instrText xml:space="preserve"> INCLUDEPICTURE  "C:\\Users\\petr.houdek\\AppData\\Local\\Microsoft\\Windows\\Temporary Internet Files\\Content.Outlook\\8PXRAI6K\\media\\image6.jpeg" \* MERGEFORMATINET </w:instrText>
      </w:r>
      <w:r>
        <w:fldChar w:fldCharType="separate"/>
      </w:r>
      <w:r w:rsidR="001A23E8">
        <w:fldChar w:fldCharType="begin"/>
      </w:r>
      <w:r w:rsidR="001A23E8">
        <w:instrText xml:space="preserve"> </w:instrText>
      </w:r>
      <w:r w:rsidR="001A23E8">
        <w:instrText>INCLUDEPICTURE  "C:\\Users\\petr.houdek\\AppData\\Local\</w:instrText>
      </w:r>
      <w:r w:rsidR="001A23E8">
        <w:instrText>\Microsoft\\Windows\\Temporary Internet Files\\Content.Outlook\\8PXRAI6K\\media\\image6.jpeg" \* MERGEFORMATINET</w:instrText>
      </w:r>
      <w:r w:rsidR="001A23E8">
        <w:instrText xml:space="preserve"> </w:instrText>
      </w:r>
      <w:r w:rsidR="001A23E8">
        <w:fldChar w:fldCharType="separate"/>
      </w:r>
      <w:r w:rsidR="00F447E9">
        <w:pict>
          <v:shape id="_x0000_i1025" type="#_x0000_t75" style="width:19.5pt;height:834pt">
            <v:imagedata r:id="rId11" r:href="rId12"/>
          </v:shape>
        </w:pict>
      </w:r>
      <w:r w:rsidR="001A23E8">
        <w:fldChar w:fldCharType="end"/>
      </w:r>
      <w:r>
        <w:fldChar w:fldCharType="end"/>
      </w:r>
    </w:p>
    <w:p w:rsidR="0062350F" w:rsidRDefault="0062350F">
      <w:pPr>
        <w:rPr>
          <w:sz w:val="2"/>
          <w:szCs w:val="2"/>
        </w:rPr>
      </w:pPr>
    </w:p>
    <w:p w:rsidR="0062350F" w:rsidRDefault="0062350F">
      <w:pPr>
        <w:rPr>
          <w:sz w:val="2"/>
          <w:szCs w:val="2"/>
        </w:rPr>
      </w:pPr>
    </w:p>
    <w:sectPr w:rsidR="0062350F">
      <w:pgSz w:w="11909" w:h="16838"/>
      <w:pgMar w:top="78" w:right="42" w:bottom="0" w:left="114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E8" w:rsidRDefault="001A23E8">
      <w:r>
        <w:separator/>
      </w:r>
    </w:p>
  </w:endnote>
  <w:endnote w:type="continuationSeparator" w:id="0">
    <w:p w:rsidR="001A23E8" w:rsidRDefault="001A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0F" w:rsidRDefault="001A23E8">
    <w:pPr>
      <w:rPr>
        <w:sz w:val="2"/>
        <w:szCs w:val="2"/>
      </w:rPr>
    </w:pPr>
    <w:r>
      <w:pict>
        <v:shapetype id="_x0000_t202" coordsize="21600,21600" o:spt="202" path="m,l,21600r21600,l21600,xe">
          <v:stroke joinstyle="miter"/>
          <v:path gradientshapeok="t" o:connecttype="rect"/>
        </v:shapetype>
        <v:shape id="_x0000_s2050" type="#_x0000_t202" style="position:absolute;margin-left:293.85pt;margin-top:794pt;width:13.2pt;height:8.65pt;z-index:-251658752;mso-wrap-style:none;mso-wrap-distance-left:5pt;mso-wrap-distance-right:5pt;mso-position-horizontal-relative:page;mso-position-vertical-relative:page" wrapcoords="0 0" filled="f" stroked="f">
          <v:textbox style="mso-fit-shape-to-text:t" inset="0,0,0,0">
            <w:txbxContent>
              <w:p w:rsidR="0062350F" w:rsidRDefault="009F1858">
                <w:pPr>
                  <w:pStyle w:val="Style4"/>
                  <w:shd w:val="clear" w:color="auto" w:fill="auto"/>
                  <w:spacing w:line="240" w:lineRule="auto"/>
                </w:pPr>
                <w:r>
                  <w:fldChar w:fldCharType="begin"/>
                </w:r>
                <w:r>
                  <w:instrText xml:space="preserve"> PAGE \* MERGEFORMAT </w:instrText>
                </w:r>
                <w:r>
                  <w:fldChar w:fldCharType="separate"/>
                </w:r>
                <w:r w:rsidR="00F447E9" w:rsidRPr="00F447E9">
                  <w:rPr>
                    <w:rStyle w:val="CharStyle6"/>
                    <w:noProof/>
                  </w:rPr>
                  <w:t>3</w:t>
                </w:r>
                <w:r>
                  <w:rPr>
                    <w:rStyle w:val="CharStyle6"/>
                  </w:rPr>
                  <w:fldChar w:fldCharType="end"/>
                </w:r>
                <w:r>
                  <w:rPr>
                    <w:rStyle w:val="CharStyle6"/>
                  </w:rPr>
                  <w:t>/5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0F" w:rsidRDefault="006235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E8" w:rsidRDefault="001A23E8"/>
  </w:footnote>
  <w:footnote w:type="continuationSeparator" w:id="0">
    <w:p w:rsidR="001A23E8" w:rsidRDefault="001A23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B56"/>
    <w:multiLevelType w:val="multilevel"/>
    <w:tmpl w:val="EEBAD5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84191"/>
    <w:multiLevelType w:val="multilevel"/>
    <w:tmpl w:val="3F52B5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6F7D30"/>
    <w:multiLevelType w:val="multilevel"/>
    <w:tmpl w:val="D826EA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E174CB"/>
    <w:multiLevelType w:val="multilevel"/>
    <w:tmpl w:val="D36A1C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F571F9"/>
    <w:multiLevelType w:val="multilevel"/>
    <w:tmpl w:val="711A4C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4B6811"/>
    <w:multiLevelType w:val="multilevel"/>
    <w:tmpl w:val="56569F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CD6D9C"/>
    <w:multiLevelType w:val="multilevel"/>
    <w:tmpl w:val="B1C69F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6B1FD8"/>
    <w:multiLevelType w:val="multilevel"/>
    <w:tmpl w:val="B2E474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0"/>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2350F"/>
    <w:rsid w:val="00076C2D"/>
    <w:rsid w:val="001A23E8"/>
    <w:rsid w:val="0062350F"/>
    <w:rsid w:val="009F1858"/>
    <w:rsid w:val="00F447E9"/>
    <w:rsid w:val="00FE2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26"/>
      <w:szCs w:val="26"/>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21"/>
      <w:szCs w:val="21"/>
      <w:u w:val="none"/>
    </w:rPr>
  </w:style>
  <w:style w:type="character" w:customStyle="1" w:styleId="CharStyle6">
    <w:name w:val="Char Style 6"/>
    <w:basedOn w:val="CharStyle5"/>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21"/>
      <w:szCs w:val="21"/>
      <w:u w:val="none"/>
    </w:rPr>
  </w:style>
  <w:style w:type="character" w:customStyle="1" w:styleId="CharStyle10">
    <w:name w:val="Char Style 10"/>
    <w:basedOn w:val="Standardnpsmoodstavce"/>
    <w:link w:val="Style9"/>
    <w:rPr>
      <w:rFonts w:ascii="Arial" w:eastAsia="Arial" w:hAnsi="Arial" w:cs="Arial"/>
      <w:b/>
      <w:bCs/>
      <w:i w:val="0"/>
      <w:iCs w:val="0"/>
      <w:smallCaps w:val="0"/>
      <w:strike w:val="0"/>
      <w:sz w:val="21"/>
      <w:szCs w:val="21"/>
      <w:u w:val="none"/>
    </w:rPr>
  </w:style>
  <w:style w:type="character" w:customStyle="1" w:styleId="CharStyle11">
    <w:name w:val="Char Style 11"/>
    <w:basedOn w:val="CharStyle8"/>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CharStyle12">
    <w:name w:val="Char Style 12"/>
    <w:basedOn w:val="CharStyle10"/>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CharStyle14">
    <w:name w:val="Char Style 14"/>
    <w:basedOn w:val="Standardnpsmoodstavce"/>
    <w:link w:val="Style13"/>
    <w:rPr>
      <w:rFonts w:ascii="Arial" w:eastAsia="Arial" w:hAnsi="Arial" w:cs="Arial"/>
      <w:b/>
      <w:bCs/>
      <w:i w:val="0"/>
      <w:iCs w:val="0"/>
      <w:smallCaps w:val="0"/>
      <w:strike w:val="0"/>
      <w:sz w:val="21"/>
      <w:szCs w:val="21"/>
      <w:u w:val="none"/>
    </w:rPr>
  </w:style>
  <w:style w:type="character" w:customStyle="1" w:styleId="CharStyle16Exact">
    <w:name w:val="Char Style 16 Exact"/>
    <w:basedOn w:val="Standardnpsmoodstavce"/>
    <w:link w:val="Style15"/>
    <w:rPr>
      <w:rFonts w:ascii="Arial" w:eastAsia="Arial" w:hAnsi="Arial" w:cs="Arial"/>
      <w:b w:val="0"/>
      <w:bCs w:val="0"/>
      <w:i w:val="0"/>
      <w:iCs w:val="0"/>
      <w:smallCaps w:val="0"/>
      <w:strike w:val="0"/>
      <w:sz w:val="21"/>
      <w:szCs w:val="21"/>
      <w:u w:val="none"/>
    </w:rPr>
  </w:style>
  <w:style w:type="character" w:customStyle="1" w:styleId="CharStyle17Exact">
    <w:name w:val="Char Style 17 Exact"/>
    <w:basedOn w:val="Standardnpsmoodstavce"/>
    <w:rPr>
      <w:rFonts w:ascii="Arial" w:eastAsia="Arial" w:hAnsi="Arial" w:cs="Arial"/>
      <w:b w:val="0"/>
      <w:bCs w:val="0"/>
      <w:i w:val="0"/>
      <w:iCs w:val="0"/>
      <w:smallCaps w:val="0"/>
      <w:strike w:val="0"/>
      <w:sz w:val="21"/>
      <w:szCs w:val="21"/>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22"/>
      <w:szCs w:val="22"/>
      <w:u w:val="none"/>
    </w:rPr>
  </w:style>
  <w:style w:type="character" w:customStyle="1" w:styleId="CharStyle20">
    <w:name w:val="Char Style 20"/>
    <w:basedOn w:val="CharStyle19"/>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CharStyle21">
    <w:name w:val="Char Style 21"/>
    <w:basedOn w:val="CharStyle8"/>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CharStyle22">
    <w:name w:val="Char Style 22"/>
    <w:basedOn w:val="CharStyle8"/>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paragraph" w:customStyle="1" w:styleId="Style2">
    <w:name w:val="Style 2"/>
    <w:basedOn w:val="Normln"/>
    <w:link w:val="CharStyle3"/>
    <w:pPr>
      <w:shd w:val="clear" w:color="auto" w:fill="FFFFFF"/>
      <w:spacing w:line="290" w:lineRule="exact"/>
      <w:jc w:val="center"/>
      <w:outlineLvl w:val="0"/>
    </w:pPr>
    <w:rPr>
      <w:rFonts w:ascii="Arial" w:eastAsia="Arial" w:hAnsi="Arial" w:cs="Arial"/>
      <w:b/>
      <w:bCs/>
      <w:sz w:val="26"/>
      <w:szCs w:val="26"/>
    </w:rPr>
  </w:style>
  <w:style w:type="paragraph" w:customStyle="1" w:styleId="Style4">
    <w:name w:val="Style 4"/>
    <w:basedOn w:val="Normln"/>
    <w:link w:val="CharStyle5"/>
    <w:pPr>
      <w:shd w:val="clear" w:color="auto" w:fill="FFFFFF"/>
      <w:spacing w:line="234" w:lineRule="exact"/>
    </w:pPr>
    <w:rPr>
      <w:rFonts w:ascii="Arial" w:eastAsia="Arial" w:hAnsi="Arial" w:cs="Arial"/>
      <w:sz w:val="21"/>
      <w:szCs w:val="21"/>
    </w:rPr>
  </w:style>
  <w:style w:type="paragraph" w:customStyle="1" w:styleId="Style7">
    <w:name w:val="Style 7"/>
    <w:basedOn w:val="Normln"/>
    <w:link w:val="CharStyle8"/>
    <w:pPr>
      <w:shd w:val="clear" w:color="auto" w:fill="FFFFFF"/>
      <w:spacing w:line="259" w:lineRule="exact"/>
      <w:ind w:hanging="420"/>
      <w:jc w:val="center"/>
    </w:pPr>
    <w:rPr>
      <w:rFonts w:ascii="Arial" w:eastAsia="Arial" w:hAnsi="Arial" w:cs="Arial"/>
      <w:sz w:val="21"/>
      <w:szCs w:val="21"/>
    </w:rPr>
  </w:style>
  <w:style w:type="paragraph" w:customStyle="1" w:styleId="Style9">
    <w:name w:val="Style 9"/>
    <w:basedOn w:val="Normln"/>
    <w:link w:val="CharStyle10"/>
    <w:pPr>
      <w:shd w:val="clear" w:color="auto" w:fill="FFFFFF"/>
      <w:spacing w:before="740" w:after="260" w:line="234" w:lineRule="exact"/>
      <w:ind w:hanging="400"/>
      <w:jc w:val="center"/>
      <w:outlineLvl w:val="1"/>
    </w:pPr>
    <w:rPr>
      <w:rFonts w:ascii="Arial" w:eastAsia="Arial" w:hAnsi="Arial" w:cs="Arial"/>
      <w:b/>
      <w:bCs/>
      <w:sz w:val="21"/>
      <w:szCs w:val="21"/>
    </w:rPr>
  </w:style>
  <w:style w:type="paragraph" w:customStyle="1" w:styleId="Style13">
    <w:name w:val="Style 13"/>
    <w:basedOn w:val="Normln"/>
    <w:link w:val="CharStyle14"/>
    <w:pPr>
      <w:shd w:val="clear" w:color="auto" w:fill="FFFFFF"/>
      <w:spacing w:after="260" w:line="234" w:lineRule="exact"/>
      <w:jc w:val="center"/>
    </w:pPr>
    <w:rPr>
      <w:rFonts w:ascii="Arial" w:eastAsia="Arial" w:hAnsi="Arial" w:cs="Arial"/>
      <w:b/>
      <w:bCs/>
      <w:sz w:val="21"/>
      <w:szCs w:val="21"/>
    </w:rPr>
  </w:style>
  <w:style w:type="paragraph" w:customStyle="1" w:styleId="Style15">
    <w:name w:val="Style 15"/>
    <w:basedOn w:val="Normln"/>
    <w:link w:val="CharStyle16Exact"/>
    <w:pPr>
      <w:shd w:val="clear" w:color="auto" w:fill="FFFFFF"/>
      <w:spacing w:line="234" w:lineRule="exact"/>
    </w:pPr>
    <w:rPr>
      <w:rFonts w:ascii="Arial" w:eastAsia="Arial" w:hAnsi="Arial" w:cs="Arial"/>
      <w:sz w:val="21"/>
      <w:szCs w:val="21"/>
    </w:rPr>
  </w:style>
  <w:style w:type="paragraph" w:customStyle="1" w:styleId="Style18">
    <w:name w:val="Style 18"/>
    <w:basedOn w:val="Normln"/>
    <w:link w:val="CharStyle19"/>
    <w:pPr>
      <w:shd w:val="clear" w:color="auto" w:fill="FFFFFF"/>
      <w:spacing w:after="580" w:line="246" w:lineRule="exact"/>
      <w:jc w:val="right"/>
    </w:pPr>
    <w:rPr>
      <w:rFonts w:ascii="Arial" w:eastAsia="Arial" w:hAnsi="Arial" w:cs="Arial"/>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AppData/Local/Microsoft/Windows/Temporary%20Internet%20Files/Content.Outlook/8PXRAI6K/media/image6.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1006</Words>
  <Characters>5939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Houdek Petr</dc:creator>
  <cp:lastModifiedBy>Houdek Petr</cp:lastModifiedBy>
  <cp:revision>2</cp:revision>
  <dcterms:created xsi:type="dcterms:W3CDTF">2017-08-03T15:17:00Z</dcterms:created>
  <dcterms:modified xsi:type="dcterms:W3CDTF">2017-08-03T15:17:00Z</dcterms:modified>
</cp:coreProperties>
</file>