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MA-25-006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CITY-MB, s.r.o.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10.01.2025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BC8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Ing. Petra Hlaváčová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U přejezdu 341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BC8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326579142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2A7BC8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BC8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petra.hlavacova@zpskoda.cz</w:t>
                </w:r>
              </w:p>
            </w:tc>
          </w:sdtContent>
        </w:sdt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2A7BC8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Polo trička s knoflíky a límečkem, materiál bavlna a elastan. Potisk a výšivka dle požadavků ZPŠ.</w:t>
                </w:r>
                <w:r>
                  <w:br/>
                  <w:t>Velikosti muži:</w:t>
                </w:r>
                <w:r>
                  <w:br/>
                  <w:t>M 10x</w:t>
                </w:r>
                <w:r>
                  <w:br/>
                  <w:t>L 10x</w:t>
                </w:r>
                <w:r>
                  <w:br/>
                  <w:t>XL 10x</w:t>
                </w:r>
                <w:r>
                  <w:br/>
                  <w:t>XXL 10x</w:t>
                </w:r>
                <w:r>
                  <w:br/>
                  <w:t>3XL 5x</w:t>
                </w:r>
                <w:r>
                  <w:br/>
                  <w:t>4XL 5x</w:t>
                </w:r>
                <w:r>
                  <w:br/>
                  <w:t>Velikosti ženy:</w:t>
                </w:r>
                <w:r>
                  <w:br/>
                  <w:t>M 15x</w:t>
                </w:r>
                <w:r>
                  <w:br/>
                  <w:t>L 15x</w:t>
                </w:r>
                <w:r>
                  <w:br/>
                  <w:t>XL 10x</w:t>
                </w:r>
                <w:r>
                  <w:br/>
                  <w:t>XXL 10x</w:t>
                </w:r>
                <w:r>
                  <w:br/>
                  <w:t>3 XL 10x</w:t>
                </w:r>
                <w:r>
                  <w:br/>
                  <w:t>4 XL 10x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120,00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67 200,00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81 312,00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2A7BC8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67 200,00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81 312,00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724" w:rsidRDefault="004D6724" w:rsidP="00DF0D81">
      <w:pPr>
        <w:spacing w:after="0" w:line="240" w:lineRule="auto"/>
      </w:pPr>
      <w:r>
        <w:separator/>
      </w:r>
    </w:p>
  </w:endnote>
  <w:endnote w:type="continuationSeparator" w:id="0">
    <w:p w:rsidR="004D6724" w:rsidRDefault="004D6724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724" w:rsidRDefault="004D6724" w:rsidP="00DF0D81">
      <w:pPr>
        <w:spacing w:after="0" w:line="240" w:lineRule="auto"/>
      </w:pPr>
      <w:r>
        <w:separator/>
      </w:r>
    </w:p>
  </w:footnote>
  <w:footnote w:type="continuationSeparator" w:id="0">
    <w:p w:rsidR="004D6724" w:rsidRDefault="004D6724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2A7BC8"/>
    <w:rsid w:val="00321B7C"/>
    <w:rsid w:val="003979A9"/>
    <w:rsid w:val="003F7846"/>
    <w:rsid w:val="00417FE0"/>
    <w:rsid w:val="00420D75"/>
    <w:rsid w:val="00456519"/>
    <w:rsid w:val="004B432E"/>
    <w:rsid w:val="004C1174"/>
    <w:rsid w:val="004D672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A2DA0"/>
    <w:rsid w:val="003D6D0D"/>
    <w:rsid w:val="003F25C0"/>
    <w:rsid w:val="004E26A4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3B4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524F-470F-4488-A477-0AC97C7C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Hlaváčová Petra</cp:lastModifiedBy>
  <cp:revision>6</cp:revision>
  <dcterms:created xsi:type="dcterms:W3CDTF">2021-12-03T09:56:00Z</dcterms:created>
  <dcterms:modified xsi:type="dcterms:W3CDTF">2025-01-27T10:29:00Z</dcterms:modified>
</cp:coreProperties>
</file>