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5220300360</w:t>
      </w:r>
    </w:p>
    <w:p>
      <w:pPr>
        <w:spacing w:line="425" w:lineRule="exact" w:before="2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5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</w:pPr>
    </w:p>
    <w:p>
      <w:pPr>
        <w:pStyle w:val="Heading2"/>
        <w:spacing w:line="265" w:lineRule="exact" w:before="1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right="0"/>
        <w:jc w:val="left"/>
      </w:pPr>
      <w:r>
        <w:rPr/>
        <w:t>Vsetínská</w:t>
      </w:r>
      <w:r>
        <w:rPr>
          <w:spacing w:val="-10"/>
        </w:rPr>
        <w:t> </w:t>
      </w:r>
      <w:r>
        <w:rPr/>
        <w:t>nemocnice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spacing w:line="237" w:lineRule="auto" w:before="2"/>
        <w:ind w:left="382" w:right="1252"/>
      </w:pPr>
      <w:r>
        <w:rPr/>
        <w:t>obchodní</w:t>
      </w:r>
      <w:r>
        <w:rPr>
          <w:spacing w:val="-6"/>
        </w:rPr>
        <w:t> </w:t>
      </w:r>
      <w:r>
        <w:rPr/>
        <w:t>společnost</w:t>
      </w:r>
      <w:r>
        <w:rPr>
          <w:spacing w:val="-6"/>
        </w:rPr>
        <w:t> </w:t>
      </w:r>
      <w:r>
        <w:rPr/>
        <w:t>zapsaná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5"/>
        </w:rPr>
        <w:t> </w:t>
      </w:r>
      <w:r>
        <w:rPr/>
        <w:t>vedeném Krajským</w:t>
      </w:r>
      <w:r>
        <w:rPr>
          <w:spacing w:val="-4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Ostravě, oddíl B, vložka 2946</w:t>
      </w:r>
    </w:p>
    <w:p>
      <w:pPr>
        <w:pStyle w:val="BodyText"/>
        <w:tabs>
          <w:tab w:pos="3257" w:val="left" w:leader="none"/>
        </w:tabs>
        <w:spacing w:before="2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Nemocniční</w:t>
      </w:r>
      <w:r>
        <w:rPr>
          <w:spacing w:val="-7"/>
        </w:rPr>
        <w:t> </w:t>
      </w:r>
      <w:r>
        <w:rPr/>
        <w:t>955,</w:t>
      </w:r>
      <w:r>
        <w:rPr>
          <w:spacing w:val="-7"/>
        </w:rPr>
        <w:t> </w:t>
      </w:r>
      <w:r>
        <w:rPr/>
        <w:t>755</w:t>
      </w:r>
      <w:r>
        <w:rPr>
          <w:spacing w:val="-4"/>
        </w:rPr>
        <w:t> </w:t>
      </w:r>
      <w:r>
        <w:rPr/>
        <w:t>01</w:t>
      </w:r>
      <w:r>
        <w:rPr>
          <w:spacing w:val="-6"/>
        </w:rPr>
        <w:t> </w:t>
      </w:r>
      <w:r>
        <w:rPr>
          <w:spacing w:val="-2"/>
        </w:rPr>
        <w:t>Vsetín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26871068</w:t>
      </w:r>
    </w:p>
    <w:p>
      <w:pPr>
        <w:pStyle w:val="BodyText"/>
        <w:tabs>
          <w:tab w:pos="3262" w:val="left" w:leader="none"/>
        </w:tabs>
        <w:spacing w:before="1"/>
        <w:ind w:left="382" w:right="125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Martinem</w:t>
      </w:r>
      <w:r>
        <w:rPr>
          <w:spacing w:val="-3"/>
        </w:rPr>
        <w:t> </w:t>
      </w:r>
      <w:r>
        <w:rPr/>
        <w:t>P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l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c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4"/>
        </w:rPr>
        <w:t> </w:t>
      </w:r>
      <w:r>
        <w:rPr/>
        <w:t>MHA,</w:t>
      </w:r>
      <w:r>
        <w:rPr>
          <w:spacing w:val="-5"/>
        </w:rPr>
        <w:t> </w:t>
      </w:r>
      <w:r>
        <w:rPr/>
        <w:t>předsedou</w:t>
      </w:r>
      <w:r>
        <w:rPr>
          <w:spacing w:val="-2"/>
        </w:rPr>
        <w:t> </w:t>
      </w:r>
      <w:r>
        <w:rPr/>
        <w:t>představenstva bankovní spojení:</w:t>
        <w:tab/>
        <w:t>UniCredit Bank Czech Republic and Slovakia, a.s.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2109376609/2700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spacing w:before="1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5220300360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4.</w:t>
      </w:r>
      <w:r>
        <w:rPr>
          <w:spacing w:val="-3"/>
        </w:rPr>
        <w:t> </w:t>
      </w:r>
      <w:r>
        <w:rPr/>
        <w:t>8.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460" w:top="160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3142" w:right="0"/>
        <w:jc w:val="both"/>
      </w:pPr>
      <w:r>
        <w:rPr/>
        <w:t>„Elektromobil</w:t>
      </w:r>
      <w:r>
        <w:rPr>
          <w:spacing w:val="-9"/>
        </w:rPr>
        <w:t> </w:t>
      </w:r>
      <w:r>
        <w:rPr/>
        <w:t>pro</w:t>
      </w:r>
      <w:r>
        <w:rPr>
          <w:spacing w:val="-9"/>
        </w:rPr>
        <w:t> </w:t>
      </w:r>
      <w:r>
        <w:rPr/>
        <w:t>Vsetínskou</w:t>
      </w:r>
      <w:r>
        <w:rPr>
          <w:spacing w:val="-10"/>
        </w:rPr>
        <w:t> </w:t>
      </w:r>
      <w:r>
        <w:rPr>
          <w:spacing w:val="-2"/>
        </w:rPr>
        <w:t>nemocnici“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kombinovaná.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poskytována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Rozhodnutím</w:t>
      </w:r>
      <w:r>
        <w:rPr>
          <w:spacing w:val="-7"/>
          <w:sz w:val="20"/>
        </w:rPr>
        <w:t> </w:t>
      </w:r>
      <w:r>
        <w:rPr>
          <w:sz w:val="20"/>
        </w:rPr>
        <w:t>komise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20.</w:t>
      </w:r>
      <w:r>
        <w:rPr>
          <w:spacing w:val="-8"/>
          <w:sz w:val="20"/>
        </w:rPr>
        <w:t> </w:t>
      </w:r>
      <w:r>
        <w:rPr>
          <w:sz w:val="20"/>
        </w:rPr>
        <w:t>prosince</w:t>
      </w:r>
      <w:r>
        <w:rPr>
          <w:spacing w:val="-9"/>
          <w:sz w:val="20"/>
        </w:rPr>
        <w:t> </w:t>
      </w:r>
      <w:r>
        <w:rPr>
          <w:sz w:val="20"/>
        </w:rPr>
        <w:t>2011 o použití čl. 106 odst. 2 Smlouvy o fungování Evropské unie na státní podporu ve formě vyrovnávací platby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závazek</w:t>
      </w:r>
      <w:r>
        <w:rPr>
          <w:spacing w:val="-14"/>
          <w:sz w:val="20"/>
        </w:rPr>
        <w:t> </w:t>
      </w:r>
      <w:r>
        <w:rPr>
          <w:sz w:val="20"/>
        </w:rPr>
        <w:t>veřejné</w:t>
      </w:r>
      <w:r>
        <w:rPr>
          <w:spacing w:val="-14"/>
          <w:sz w:val="20"/>
        </w:rPr>
        <w:t> </w:t>
      </w:r>
      <w:r>
        <w:rPr>
          <w:sz w:val="20"/>
        </w:rPr>
        <w:t>služby</w:t>
      </w:r>
      <w:r>
        <w:rPr>
          <w:spacing w:val="-13"/>
          <w:sz w:val="20"/>
        </w:rPr>
        <w:t> </w:t>
      </w:r>
      <w:r>
        <w:rPr>
          <w:sz w:val="20"/>
        </w:rPr>
        <w:t>udělené</w:t>
      </w:r>
      <w:r>
        <w:rPr>
          <w:spacing w:val="-14"/>
          <w:sz w:val="20"/>
        </w:rPr>
        <w:t> </w:t>
      </w:r>
      <w:r>
        <w:rPr>
          <w:sz w:val="20"/>
        </w:rPr>
        <w:t>určitým</w:t>
      </w:r>
      <w:r>
        <w:rPr>
          <w:spacing w:val="-12"/>
          <w:sz w:val="20"/>
        </w:rPr>
        <w:t> </w:t>
      </w:r>
      <w:r>
        <w:rPr>
          <w:sz w:val="20"/>
        </w:rPr>
        <w:t>podnikům</w:t>
      </w:r>
      <w:r>
        <w:rPr>
          <w:spacing w:val="-12"/>
          <w:sz w:val="20"/>
        </w:rPr>
        <w:t> </w:t>
      </w:r>
      <w:r>
        <w:rPr>
          <w:sz w:val="20"/>
        </w:rPr>
        <w:t>pověřeným</w:t>
      </w:r>
      <w:r>
        <w:rPr>
          <w:spacing w:val="-13"/>
          <w:sz w:val="20"/>
        </w:rPr>
        <w:t> </w:t>
      </w:r>
      <w:r>
        <w:rPr>
          <w:sz w:val="20"/>
        </w:rPr>
        <w:t>poskytováním</w:t>
      </w:r>
      <w:r>
        <w:rPr>
          <w:spacing w:val="-13"/>
          <w:sz w:val="20"/>
        </w:rPr>
        <w:t> </w:t>
      </w:r>
      <w:r>
        <w:rPr>
          <w:sz w:val="20"/>
        </w:rPr>
        <w:t>služeb</w:t>
      </w:r>
      <w:r>
        <w:rPr>
          <w:spacing w:val="-13"/>
          <w:sz w:val="20"/>
        </w:rPr>
        <w:t> </w:t>
      </w:r>
      <w:r>
        <w:rPr>
          <w:sz w:val="20"/>
        </w:rPr>
        <w:t>obecného hospodářského zájmu.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z w:val="20"/>
        </w:rPr>
        <w:t>formou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b/>
          <w:sz w:val="20"/>
        </w:rPr>
        <w:t>390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148,50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> </w:t>
      </w:r>
      <w:r>
        <w:rPr>
          <w:sz w:val="20"/>
        </w:rPr>
        <w:t>(slovy: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tři</w:t>
      </w:r>
    </w:p>
    <w:p>
      <w:pPr>
        <w:pStyle w:val="BodyText"/>
        <w:spacing w:before="1"/>
      </w:pPr>
      <w:r>
        <w:rPr/>
        <w:t>sta</w:t>
      </w:r>
      <w:r>
        <w:rPr>
          <w:spacing w:val="-7"/>
        </w:rPr>
        <w:t> </w:t>
      </w:r>
      <w:r>
        <w:rPr/>
        <w:t>devadesát</w:t>
      </w:r>
      <w:r>
        <w:rPr>
          <w:spacing w:val="-4"/>
        </w:rPr>
        <w:t> </w:t>
      </w:r>
      <w:r>
        <w:rPr/>
        <w:t>tisíc</w:t>
      </w:r>
      <w:r>
        <w:rPr>
          <w:spacing w:val="-7"/>
        </w:rPr>
        <w:t> </w:t>
      </w:r>
      <w:r>
        <w:rPr/>
        <w:t>jedno</w:t>
      </w:r>
      <w:r>
        <w:rPr>
          <w:spacing w:val="-4"/>
        </w:rPr>
        <w:t> </w:t>
      </w:r>
      <w:r>
        <w:rPr/>
        <w:t>sto</w:t>
      </w:r>
      <w:r>
        <w:rPr>
          <w:spacing w:val="-6"/>
        </w:rPr>
        <w:t> </w:t>
      </w:r>
      <w:r>
        <w:rPr/>
        <w:t>čtyřicet</w:t>
      </w:r>
      <w:r>
        <w:rPr>
          <w:spacing w:val="-7"/>
        </w:rPr>
        <w:t> </w:t>
      </w:r>
      <w:r>
        <w:rPr/>
        <w:t>osm</w:t>
      </w:r>
      <w:r>
        <w:rPr>
          <w:spacing w:val="-5"/>
        </w:rPr>
        <w:t> </w:t>
      </w:r>
      <w:r>
        <w:rPr/>
        <w:t>korun</w:t>
      </w:r>
      <w:r>
        <w:rPr>
          <w:spacing w:val="-3"/>
        </w:rPr>
        <w:t> </w:t>
      </w:r>
      <w:r>
        <w:rPr/>
        <w:t>českých,</w:t>
      </w:r>
      <w:r>
        <w:rPr>
          <w:spacing w:val="-4"/>
        </w:rPr>
        <w:t> </w:t>
      </w:r>
      <w:r>
        <w:rPr/>
        <w:t>padesát</w:t>
      </w:r>
      <w:r>
        <w:rPr>
          <w:spacing w:val="-7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9"/>
        <w:gridCol w:w="4865"/>
      </w:tblGrid>
      <w:tr>
        <w:trPr>
          <w:trHeight w:val="506" w:hRule="atLeast"/>
        </w:trPr>
        <w:tc>
          <w:tcPr>
            <w:tcW w:w="3689" w:type="dxa"/>
          </w:tcPr>
          <w:p>
            <w:pPr>
              <w:pStyle w:val="TableParagraph"/>
              <w:spacing w:before="120"/>
              <w:ind w:left="15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5" w:type="dxa"/>
          </w:tcPr>
          <w:p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3689" w:type="dxa"/>
          </w:tcPr>
          <w:p>
            <w:pPr>
              <w:pStyle w:val="TableParagraph"/>
              <w:spacing w:before="120"/>
              <w:ind w:left="1627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5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148,50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60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109" w:hanging="360"/>
        <w:jc w:val="left"/>
        <w:rPr>
          <w:sz w:val="20"/>
        </w:rPr>
      </w:pPr>
      <w:r>
        <w:rPr>
          <w:sz w:val="20"/>
        </w:rPr>
        <w:t>akce „Elektromobil pro Vsetínskou nemocnici“ byla provedena 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2"/>
          <w:sz w:val="20"/>
        </w:rPr>
        <w:t> </w:t>
      </w:r>
      <w:r>
        <w:rPr>
          <w:sz w:val="20"/>
        </w:rPr>
        <w:t>Výzvou, žádostí o podporu</w:t>
      </w:r>
      <w:r>
        <w:rPr>
          <w:spacing w:val="40"/>
          <w:sz w:val="20"/>
        </w:rPr>
        <w:t> </w:t>
      </w:r>
      <w:r>
        <w:rPr>
          <w:sz w:val="20"/>
        </w:rPr>
        <w:t>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0"/>
          <w:sz w:val="20"/>
        </w:rPr>
        <w:t> </w:t>
      </w:r>
      <w:r>
        <w:rPr>
          <w:sz w:val="20"/>
        </w:rPr>
        <w:t>20.</w:t>
      </w:r>
      <w:r>
        <w:rPr>
          <w:spacing w:val="-11"/>
          <w:sz w:val="20"/>
        </w:rPr>
        <w:t> </w:t>
      </w:r>
      <w:r>
        <w:rPr>
          <w:sz w:val="20"/>
        </w:rPr>
        <w:t>9.</w:t>
      </w:r>
      <w:r>
        <w:rPr>
          <w:spacing w:val="-11"/>
          <w:sz w:val="20"/>
        </w:rPr>
        <w:t> </w:t>
      </w:r>
      <w:r>
        <w:rPr>
          <w:sz w:val="20"/>
        </w:rPr>
        <w:t>2024</w:t>
      </w:r>
      <w:r>
        <w:rPr>
          <w:spacing w:val="-10"/>
          <w:sz w:val="20"/>
        </w:rPr>
        <w:t> </w:t>
      </w:r>
      <w:r>
        <w:rPr>
          <w:sz w:val="20"/>
        </w:rPr>
        <w:t>nakoupil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ks</w:t>
      </w:r>
      <w:r>
        <w:rPr>
          <w:spacing w:val="-11"/>
          <w:sz w:val="20"/>
        </w:rPr>
        <w:t> </w:t>
      </w:r>
      <w:r>
        <w:rPr>
          <w:sz w:val="20"/>
        </w:rPr>
        <w:t>nových</w:t>
      </w:r>
      <w:r>
        <w:rPr>
          <w:spacing w:val="-11"/>
          <w:sz w:val="20"/>
        </w:rPr>
        <w:t> </w:t>
      </w:r>
      <w:r>
        <w:rPr>
          <w:sz w:val="20"/>
        </w:rPr>
        <w:t>vozidel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termínu</w:t>
      </w:r>
      <w:r>
        <w:rPr>
          <w:spacing w:val="-11"/>
          <w:sz w:val="20"/>
        </w:rPr>
        <w:t> </w:t>
      </w:r>
      <w:r>
        <w:rPr>
          <w:sz w:val="20"/>
        </w:rPr>
        <w:t>28.</w:t>
      </w:r>
      <w:r>
        <w:rPr>
          <w:spacing w:val="-10"/>
          <w:sz w:val="20"/>
        </w:rPr>
        <w:t> </w:t>
      </w:r>
      <w:r>
        <w:rPr>
          <w:sz w:val="20"/>
        </w:rPr>
        <w:t>8.</w:t>
      </w:r>
      <w:r>
        <w:rPr>
          <w:spacing w:val="-11"/>
          <w:sz w:val="20"/>
        </w:rPr>
        <w:t> </w:t>
      </w:r>
      <w:r>
        <w:rPr>
          <w:sz w:val="20"/>
        </w:rPr>
        <w:t>2024</w:t>
      </w:r>
      <w:r>
        <w:rPr>
          <w:spacing w:val="-11"/>
          <w:sz w:val="20"/>
        </w:rPr>
        <w:t> </w:t>
      </w:r>
      <w:r>
        <w:rPr>
          <w:sz w:val="20"/>
        </w:rPr>
        <w:t>pořídil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ks</w:t>
      </w:r>
      <w:r>
        <w:rPr>
          <w:spacing w:val="-12"/>
          <w:sz w:val="20"/>
        </w:rPr>
        <w:t> </w:t>
      </w:r>
      <w:r>
        <w:rPr>
          <w:sz w:val="20"/>
        </w:rPr>
        <w:t>neveřejné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dobíjecí</w:t>
      </w:r>
    </w:p>
    <w:p>
      <w:pPr>
        <w:pStyle w:val="BodyText"/>
        <w:spacing w:before="1"/>
        <w:ind w:left="741"/>
      </w:pPr>
      <w:r>
        <w:rPr>
          <w:spacing w:val="-2"/>
        </w:rPr>
        <w:t>stanice,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1"/>
        <w:ind w:right="117"/>
        <w:jc w:val="both"/>
      </w:pPr>
      <w:r>
        <w:rPr/>
        <w:t>Příjemce podpory bere na vědomí, že pokud toto prohlášení není pravdivé, bude přijetí podpory podle této</w:t>
      </w:r>
      <w:r>
        <w:rPr>
          <w:spacing w:val="-11"/>
        </w:rPr>
        <w:t> </w:t>
      </w:r>
      <w:r>
        <w:rPr/>
        <w:t>Smlouvy</w:t>
      </w:r>
      <w:r>
        <w:rPr>
          <w:spacing w:val="-12"/>
        </w:rPr>
        <w:t> </w:t>
      </w:r>
      <w:r>
        <w:rPr/>
        <w:t>považováno</w:t>
      </w:r>
      <w:r>
        <w:rPr>
          <w:spacing w:val="-11"/>
        </w:rPr>
        <w:t> </w:t>
      </w:r>
      <w:r>
        <w:rPr/>
        <w:t>za</w:t>
      </w:r>
      <w:r>
        <w:rPr>
          <w:spacing w:val="-12"/>
        </w:rPr>
        <w:t> </w:t>
      </w:r>
      <w:r>
        <w:rPr/>
        <w:t>neoprávněné</w:t>
      </w:r>
      <w:r>
        <w:rPr>
          <w:spacing w:val="-12"/>
        </w:rPr>
        <w:t> </w:t>
      </w:r>
      <w:r>
        <w:rPr/>
        <w:t>použití</w:t>
      </w:r>
      <w:r>
        <w:rPr>
          <w:spacing w:val="-12"/>
        </w:rPr>
        <w:t> </w:t>
      </w:r>
      <w:r>
        <w:rPr/>
        <w:t>finančních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poskytnutých</w:t>
      </w:r>
      <w:r>
        <w:rPr>
          <w:spacing w:val="-11"/>
        </w:rPr>
        <w:t> </w:t>
      </w:r>
      <w:r>
        <w:rPr/>
        <w:t>ze</w:t>
      </w:r>
      <w:r>
        <w:rPr>
          <w:spacing w:val="-12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 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218/2000</w:t>
      </w:r>
      <w:r>
        <w:rPr>
          <w:spacing w:val="-1"/>
        </w:rPr>
        <w:t> </w:t>
      </w:r>
      <w:r>
        <w:rPr/>
        <w:t>Sb.,</w:t>
      </w:r>
      <w:r>
        <w:rPr>
          <w:spacing w:val="-1"/>
        </w:rPr>
        <w:t> </w:t>
      </w:r>
      <w:r>
        <w:rPr/>
        <w:t>o rozpočtových</w:t>
      </w:r>
      <w:r>
        <w:rPr>
          <w:spacing w:val="-1"/>
        </w:rPr>
        <w:t> </w:t>
      </w:r>
      <w:r>
        <w:rPr/>
        <w:t>pravidlech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 souvisejících</w:t>
      </w:r>
      <w:r>
        <w:rPr>
          <w:spacing w:val="-1"/>
        </w:rPr>
        <w:t> </w:t>
      </w:r>
      <w:r>
        <w:rPr/>
        <w:t>zákonů (rozpočtová pravidla), v platném znění, a že mohou být uplatněny sankce podle tohoto zákona.</w:t>
      </w:r>
    </w:p>
    <w:p>
      <w:pPr>
        <w:spacing w:after="0"/>
        <w:jc w:val="both"/>
        <w:sectPr>
          <w:pgSz w:w="12240" w:h="15840"/>
          <w:pgMar w:header="708" w:footer="1460" w:top="160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89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60" w:top="160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8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9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skutečných</w:t>
      </w:r>
      <w:r>
        <w:rPr>
          <w:spacing w:val="-14"/>
          <w:sz w:val="20"/>
        </w:rPr>
        <w:t> </w:t>
      </w:r>
      <w:r>
        <w:rPr>
          <w:sz w:val="20"/>
        </w:rPr>
        <w:t>majitelích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takové</w:t>
      </w:r>
      <w:r>
        <w:rPr>
          <w:spacing w:val="-14"/>
          <w:sz w:val="20"/>
        </w:rPr>
        <w:t> </w:t>
      </w:r>
      <w:r>
        <w:rPr>
          <w:sz w:val="20"/>
        </w:rPr>
        <w:t>změny</w:t>
      </w:r>
      <w:r>
        <w:rPr>
          <w:spacing w:val="-13"/>
          <w:sz w:val="20"/>
        </w:rPr>
        <w:t> </w:t>
      </w:r>
      <w:r>
        <w:rPr>
          <w:sz w:val="20"/>
        </w:rPr>
        <w:t>předložit</w:t>
      </w:r>
      <w:r>
        <w:rPr>
          <w:spacing w:val="-14"/>
          <w:sz w:val="20"/>
        </w:rPr>
        <w:t> </w:t>
      </w:r>
      <w:r>
        <w:rPr>
          <w:sz w:val="20"/>
        </w:rPr>
        <w:t>nově</w:t>
      </w:r>
      <w:r>
        <w:rPr>
          <w:spacing w:val="-13"/>
          <w:sz w:val="20"/>
        </w:rPr>
        <w:t> </w:t>
      </w:r>
      <w:r>
        <w:rPr>
          <w:sz w:val="20"/>
        </w:rPr>
        <w:t>vyplněné</w:t>
      </w:r>
      <w:r>
        <w:rPr>
          <w:spacing w:val="-12"/>
          <w:sz w:val="20"/>
        </w:rPr>
        <w:t> </w:t>
      </w:r>
      <w:r>
        <w:rPr>
          <w:sz w:val="20"/>
        </w:rPr>
        <w:t>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4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</w:t>
      </w:r>
      <w:r>
        <w:rPr>
          <w:spacing w:val="-3"/>
          <w:sz w:val="20"/>
        </w:rPr>
        <w:t> </w:t>
      </w:r>
      <w:r>
        <w:rPr>
          <w:sz w:val="20"/>
        </w:rPr>
        <w:t>nařízení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6 Směrnice</w:t>
      </w:r>
      <w:r>
        <w:rPr>
          <w:spacing w:val="23"/>
          <w:sz w:val="20"/>
        </w:rPr>
        <w:t> </w:t>
      </w:r>
      <w:r>
        <w:rPr>
          <w:sz w:val="20"/>
        </w:rPr>
        <w:t>Evropského</w:t>
      </w:r>
      <w:r>
        <w:rPr>
          <w:spacing w:val="25"/>
          <w:sz w:val="20"/>
        </w:rPr>
        <w:t> </w:t>
      </w:r>
      <w:r>
        <w:rPr>
          <w:sz w:val="20"/>
        </w:rPr>
        <w:t>Parlamentu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Rady</w:t>
      </w:r>
      <w:r>
        <w:rPr>
          <w:spacing w:val="23"/>
          <w:sz w:val="20"/>
        </w:rPr>
        <w:t> </w:t>
      </w:r>
      <w:r>
        <w:rPr>
          <w:sz w:val="20"/>
        </w:rPr>
        <w:t>(EU)</w:t>
      </w:r>
      <w:r>
        <w:rPr>
          <w:spacing w:val="24"/>
          <w:sz w:val="20"/>
        </w:rPr>
        <w:t> </w:t>
      </w:r>
      <w:r>
        <w:rPr>
          <w:sz w:val="20"/>
        </w:rPr>
        <w:t>2015/849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předcházení</w:t>
      </w:r>
      <w:r>
        <w:rPr>
          <w:spacing w:val="24"/>
          <w:sz w:val="20"/>
        </w:rPr>
        <w:t> </w:t>
      </w:r>
      <w:r>
        <w:rPr>
          <w:sz w:val="20"/>
        </w:rPr>
        <w:t>využívání</w:t>
      </w:r>
      <w:r>
        <w:rPr>
          <w:spacing w:val="24"/>
          <w:sz w:val="20"/>
        </w:rPr>
        <w:t> </w:t>
      </w:r>
      <w:r>
        <w:rPr>
          <w:sz w:val="20"/>
        </w:rPr>
        <w:t>finančního</w:t>
      </w:r>
      <w:r>
        <w:rPr>
          <w:spacing w:val="24"/>
          <w:sz w:val="20"/>
        </w:rPr>
        <w:t> </w:t>
      </w:r>
      <w:r>
        <w:rPr>
          <w:sz w:val="20"/>
        </w:rPr>
        <w:t>systému k</w:t>
      </w:r>
      <w:r>
        <w:rPr>
          <w:spacing w:val="27"/>
          <w:sz w:val="20"/>
        </w:rPr>
        <w:t> </w:t>
      </w:r>
      <w:r>
        <w:rPr>
          <w:sz w:val="20"/>
        </w:rPr>
        <w:t>praní</w:t>
      </w:r>
      <w:r>
        <w:rPr>
          <w:spacing w:val="26"/>
          <w:sz w:val="20"/>
        </w:rPr>
        <w:t> </w:t>
      </w:r>
      <w:r>
        <w:rPr>
          <w:sz w:val="20"/>
        </w:rPr>
        <w:t>peněz</w:t>
      </w:r>
      <w:r>
        <w:rPr>
          <w:spacing w:val="28"/>
          <w:sz w:val="20"/>
        </w:rPr>
        <w:t> </w:t>
      </w:r>
      <w:r>
        <w:rPr>
          <w:sz w:val="20"/>
        </w:rPr>
        <w:t>nebo</w:t>
      </w:r>
      <w:r>
        <w:rPr>
          <w:spacing w:val="28"/>
          <w:sz w:val="20"/>
        </w:rPr>
        <w:t> </w:t>
      </w:r>
      <w:r>
        <w:rPr>
          <w:sz w:val="20"/>
        </w:rPr>
        <w:t>financování</w:t>
      </w:r>
      <w:r>
        <w:rPr>
          <w:spacing w:val="27"/>
          <w:sz w:val="20"/>
        </w:rPr>
        <w:t> </w:t>
      </w:r>
      <w:r>
        <w:rPr>
          <w:sz w:val="20"/>
        </w:rPr>
        <w:t>terorismu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smyslu</w:t>
      </w:r>
      <w:r>
        <w:rPr>
          <w:spacing w:val="27"/>
          <w:sz w:val="20"/>
        </w:rPr>
        <w:t> </w:t>
      </w:r>
      <w:r>
        <w:rPr>
          <w:sz w:val="20"/>
        </w:rPr>
        <w:t>§</w:t>
      </w:r>
      <w:r>
        <w:rPr>
          <w:spacing w:val="27"/>
          <w:sz w:val="20"/>
        </w:rPr>
        <w:t> </w:t>
      </w:r>
      <w:r>
        <w:rPr>
          <w:sz w:val="20"/>
        </w:rPr>
        <w:t>4c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27"/>
          <w:sz w:val="20"/>
        </w:rPr>
        <w:t> </w:t>
      </w:r>
      <w:r>
        <w:rPr>
          <w:sz w:val="20"/>
        </w:rPr>
        <w:t>159/2006</w:t>
      </w:r>
      <w:r>
        <w:rPr>
          <w:spacing w:val="25"/>
          <w:sz w:val="20"/>
        </w:rPr>
        <w:t> </w:t>
      </w:r>
      <w:r>
        <w:rPr>
          <w:sz w:val="20"/>
        </w:rPr>
        <w:t>Sb.,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střetu</w:t>
      </w:r>
      <w:r>
        <w:rPr>
          <w:spacing w:val="27"/>
          <w:sz w:val="20"/>
        </w:rPr>
        <w:t> </w:t>
      </w:r>
      <w:r>
        <w:rPr>
          <w:sz w:val="20"/>
        </w:rPr>
        <w:t>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3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  <w:spacing w:before="1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>
          <w:spacing w:val="-5"/>
        </w:rPr>
        <w:t>V.</w:t>
      </w:r>
    </w:p>
    <w:p>
      <w:pPr>
        <w:pStyle w:val="Heading2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60" w:top="160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89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60" w:top="160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8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4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spacing w:line="261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1" w:lineRule="auto"/>
        <w:sectPr>
          <w:pgSz w:w="12240" w:h="15840"/>
          <w:pgMar w:header="708" w:footer="1460" w:top="1600" w:bottom="1660" w:left="1320" w:right="1020"/>
        </w:sectPr>
      </w:pP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spacing w:before="1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9"/>
        </w:rPr>
      </w:pPr>
    </w:p>
    <w:p>
      <w:pPr>
        <w:pStyle w:val="Heading2"/>
        <w:spacing w:line="264" w:lineRule="auto" w:before="1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8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1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5" w:lineRule="exact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1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460" w:top="16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143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line="237" w:lineRule="auto" w:before="2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60" w:top="1600" w:bottom="1660" w:left="1320" w:right="1020"/>
        </w:sectPr>
      </w:pPr>
    </w:p>
    <w:p>
      <w:pPr>
        <w:pStyle w:val="BodyText"/>
        <w:spacing w:before="8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4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5" w:right="1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1460" w:top="1600" w:bottom="1660" w:left="1320" w:right="1020"/>
        </w:sectPr>
      </w:pPr>
    </w:p>
    <w:p>
      <w:pPr>
        <w:pStyle w:val="BodyText"/>
        <w:spacing w:before="8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2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43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spacing w:after="0" w:line="266" w:lineRule="exact"/>
        <w:rPr>
          <w:sz w:val="20"/>
        </w:rPr>
        <w:sectPr>
          <w:pgSz w:w="12240" w:h="15840"/>
          <w:pgMar w:header="708" w:footer="1460" w:top="1600" w:bottom="1660" w:left="1320" w:right="1020"/>
        </w:sectPr>
      </w:pPr>
    </w:p>
    <w:p>
      <w:pPr>
        <w:pStyle w:val="BodyText"/>
        <w:spacing w:before="8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9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18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pStyle w:val="BodyText"/>
        <w:spacing w:before="7"/>
        <w:ind w:left="0"/>
        <w:rPr>
          <w:b/>
          <w:sz w:val="17"/>
        </w:rPr>
      </w:pPr>
      <w:r>
        <w:rPr/>
        <w:pict>
          <v:rect style="position:absolute;margin-left:85.103996pt;margin-top:12.85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460" w:top="1600" w:bottom="1660" w:left="1320" w:right="1020"/>
        </w:sectPr>
      </w:pPr>
    </w:p>
    <w:p>
      <w:pPr>
        <w:pStyle w:val="BodyText"/>
        <w:spacing w:before="8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60" w:top="1600" w:bottom="1660" w:left="1320" w:right="1020"/>
        </w:sectPr>
      </w:pPr>
    </w:p>
    <w:p>
      <w:pPr>
        <w:pStyle w:val="BodyText"/>
        <w:spacing w:before="8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60" w:top="1600" w:bottom="1660" w:left="1320" w:right="1020"/>
        </w:sectPr>
      </w:pPr>
    </w:p>
    <w:p>
      <w:pPr>
        <w:pStyle w:val="BodyText"/>
        <w:spacing w:before="8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60" w:top="1600" w:bottom="1660" w:left="1320" w:right="1020"/>
        </w:sectPr>
      </w:pPr>
    </w:p>
    <w:p>
      <w:pPr>
        <w:pStyle w:val="BodyText"/>
        <w:spacing w:before="8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60" w:top="1600" w:bottom="1660" w:left="1320" w:right="1020"/>
        </w:sectPr>
      </w:pPr>
    </w:p>
    <w:p>
      <w:pPr>
        <w:pStyle w:val="BodyText"/>
        <w:spacing w:before="8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spacing w:before="12"/>
        <w:ind w:left="0"/>
        <w:rPr>
          <w:sz w:val="29"/>
        </w:rPr>
      </w:pPr>
      <w:r>
        <w:rPr/>
        <w:pict>
          <v:rect style="position:absolute;margin-left:85.103996pt;margin-top:21.10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460" w:top="1600" w:bottom="1660" w:left="1320" w:right="1020"/>
        </w:sectPr>
      </w:pPr>
    </w:p>
    <w:p>
      <w:pPr>
        <w:pStyle w:val="BodyText"/>
        <w:spacing w:before="8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37" w:lineRule="auto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708" w:footer="1460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65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5945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2025-01-27T08:03:17Z</dcterms:created>
  <dcterms:modified xsi:type="dcterms:W3CDTF">2025-01-27T08:03:17Z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2025-01-27T00:00:00Z</vt:filetime>
  </property>
</Properties>
</file>