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50A1" w:rsidRDefault="001E3F86" w:rsidP="006C0CC1">
      <w:pPr>
        <w:spacing w:after="0" w:line="240" w:lineRule="auto"/>
        <w:rPr>
          <w:rFonts w:ascii="Arial" w:eastAsia="Times New Roman" w:hAnsi="Arial" w:cs="Arial"/>
          <w:b/>
          <w:bCs/>
          <w:color w:val="333333"/>
          <w:sz w:val="20"/>
          <w:szCs w:val="20"/>
          <w:u w:val="single"/>
          <w:lang w:eastAsia="cs-CZ"/>
        </w:rPr>
      </w:pPr>
      <w:r w:rsidRPr="007B2BEB">
        <w:rPr>
          <w:noProof/>
          <w:lang w:eastAsia="cs-CZ"/>
        </w:rPr>
        <w:drawing>
          <wp:anchor distT="0" distB="0" distL="114300" distR="114300" simplePos="0" relativeHeight="251667456" behindDoc="0" locked="0" layoutInCell="1" allowOverlap="1" wp14:anchorId="2E5A25F0" wp14:editId="536E2B79">
            <wp:simplePos x="0" y="0"/>
            <wp:positionH relativeFrom="column">
              <wp:posOffset>4064000</wp:posOffset>
            </wp:positionH>
            <wp:positionV relativeFrom="paragraph">
              <wp:posOffset>-254000</wp:posOffset>
            </wp:positionV>
            <wp:extent cx="3048000" cy="340431"/>
            <wp:effectExtent l="0" t="0" r="0" b="2540"/>
            <wp:wrapNone/>
            <wp:docPr id="9" name="Obráz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6181" b="56634"/>
                    <a:stretch>
                      <a:fillRect/>
                    </a:stretch>
                  </pic:blipFill>
                  <pic:spPr bwMode="auto">
                    <a:xfrm>
                      <a:off x="0" y="0"/>
                      <a:ext cx="3048000" cy="340431"/>
                    </a:xfrm>
                    <a:prstGeom prst="rect">
                      <a:avLst/>
                    </a:prstGeom>
                    <a:noFill/>
                    <a:ln>
                      <a:noFill/>
                    </a:ln>
                  </pic:spPr>
                </pic:pic>
              </a:graphicData>
            </a:graphic>
          </wp:anchor>
        </w:drawing>
      </w:r>
      <w:r w:rsidR="00506CFD" w:rsidRPr="00074860">
        <w:rPr>
          <w:noProof/>
          <w:lang w:eastAsia="cs-CZ"/>
        </w:rPr>
        <w:drawing>
          <wp:anchor distT="0" distB="0" distL="114300" distR="114300" simplePos="0" relativeHeight="251665408" behindDoc="0" locked="0" layoutInCell="1" allowOverlap="1" wp14:anchorId="795F12C3" wp14:editId="4F5FC763">
            <wp:simplePos x="0" y="0"/>
            <wp:positionH relativeFrom="column">
              <wp:posOffset>4064000</wp:posOffset>
            </wp:positionH>
            <wp:positionV relativeFrom="paragraph">
              <wp:posOffset>-254000</wp:posOffset>
            </wp:positionV>
            <wp:extent cx="3048000" cy="340019"/>
            <wp:effectExtent l="0" t="0" r="0" b="3175"/>
            <wp:wrapNone/>
            <wp:docPr id="11" name="Obráze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6181" b="56634"/>
                    <a:stretch>
                      <a:fillRect/>
                    </a:stretch>
                  </pic:blipFill>
                  <pic:spPr bwMode="auto">
                    <a:xfrm>
                      <a:off x="0" y="0"/>
                      <a:ext cx="3048000" cy="340019"/>
                    </a:xfrm>
                    <a:prstGeom prst="rect">
                      <a:avLst/>
                    </a:prstGeom>
                    <a:noFill/>
                    <a:ln>
                      <a:noFill/>
                    </a:ln>
                  </pic:spPr>
                </pic:pic>
              </a:graphicData>
            </a:graphic>
          </wp:anchor>
        </w:drawing>
      </w:r>
      <w:r w:rsidR="009779B6">
        <w:rPr>
          <w:rFonts w:ascii="Arial" w:eastAsia="Times New Roman" w:hAnsi="Arial" w:cs="Arial"/>
          <w:b/>
          <w:bCs/>
          <w:color w:val="333333"/>
          <w:sz w:val="24"/>
          <w:szCs w:val="24"/>
          <w:u w:val="single"/>
          <w:lang w:eastAsia="cs-CZ"/>
        </w:rPr>
        <w:t>Kupní smlouva č. </w:t>
      </w:r>
      <w:r w:rsidR="007B7E21">
        <w:rPr>
          <w:rFonts w:ascii="Arial" w:eastAsia="Times New Roman" w:hAnsi="Arial" w:cs="Arial"/>
          <w:b/>
          <w:bCs/>
          <w:color w:val="333333"/>
          <w:sz w:val="24"/>
          <w:szCs w:val="24"/>
          <w:u w:val="single"/>
          <w:lang w:eastAsia="cs-CZ"/>
        </w:rPr>
        <w:t>PVJ/2025/1</w:t>
      </w:r>
      <w:r>
        <w:rPr>
          <w:rFonts w:ascii="Arial" w:eastAsia="Times New Roman" w:hAnsi="Arial" w:cs="Arial"/>
          <w:b/>
          <w:bCs/>
          <w:color w:val="333333"/>
          <w:sz w:val="24"/>
          <w:szCs w:val="24"/>
          <w:u w:val="single"/>
          <w:lang w:eastAsia="cs-CZ"/>
        </w:rPr>
        <w:t>/80</w:t>
      </w:r>
      <w:r w:rsidR="00FC10C3">
        <w:rPr>
          <w:rFonts w:ascii="Arial" w:eastAsia="Times New Roman" w:hAnsi="Arial" w:cs="Arial"/>
          <w:b/>
          <w:bCs/>
          <w:color w:val="333333"/>
          <w:sz w:val="24"/>
          <w:szCs w:val="24"/>
          <w:u w:val="single"/>
          <w:lang w:eastAsia="cs-CZ"/>
        </w:rPr>
        <w:t>/</w:t>
      </w:r>
      <w:r>
        <w:rPr>
          <w:rFonts w:ascii="Arial" w:eastAsia="Times New Roman" w:hAnsi="Arial" w:cs="Arial"/>
          <w:b/>
          <w:bCs/>
          <w:color w:val="333333"/>
          <w:sz w:val="24"/>
          <w:szCs w:val="24"/>
          <w:u w:val="single"/>
          <w:lang w:eastAsia="cs-CZ"/>
        </w:rPr>
        <w:t>803</w:t>
      </w:r>
    </w:p>
    <w:p w:rsidR="00CF50A1" w:rsidRPr="00CF50A1" w:rsidRDefault="00CF50A1" w:rsidP="006C0CC1">
      <w:pPr>
        <w:spacing w:after="240" w:line="240" w:lineRule="auto"/>
        <w:rPr>
          <w:rFonts w:ascii="Arial" w:eastAsia="Times New Roman" w:hAnsi="Arial" w:cs="Arial"/>
          <w:color w:val="333333"/>
          <w:sz w:val="20"/>
          <w:szCs w:val="20"/>
          <w:lang w:eastAsia="cs-CZ"/>
        </w:rPr>
      </w:pPr>
      <w:r w:rsidRPr="00CF50A1">
        <w:rPr>
          <w:rFonts w:ascii="Arial" w:eastAsia="Times New Roman" w:hAnsi="Arial" w:cs="Arial"/>
          <w:i/>
          <w:iCs/>
          <w:color w:val="333333"/>
          <w:sz w:val="16"/>
          <w:szCs w:val="16"/>
          <w:lang w:eastAsia="cs-CZ"/>
        </w:rPr>
        <w:t>§ 2079 a násl. zákona č. 89/2012 Sb. občanského zákoníku,</w:t>
      </w:r>
      <w:r w:rsidR="00D764F7" w:rsidRPr="00CF50A1">
        <w:rPr>
          <w:rFonts w:ascii="Arial" w:eastAsia="Times New Roman" w:hAnsi="Arial" w:cs="Arial"/>
          <w:i/>
          <w:iCs/>
          <w:color w:val="333333"/>
          <w:sz w:val="16"/>
          <w:szCs w:val="16"/>
          <w:lang w:eastAsia="cs-CZ"/>
        </w:rPr>
        <w:t xml:space="preserve"> </w:t>
      </w:r>
      <w:r w:rsidRPr="00CF50A1">
        <w:rPr>
          <w:rFonts w:ascii="Arial" w:eastAsia="Times New Roman" w:hAnsi="Arial" w:cs="Arial"/>
          <w:i/>
          <w:iCs/>
          <w:color w:val="333333"/>
          <w:sz w:val="16"/>
          <w:szCs w:val="16"/>
          <w:lang w:eastAsia="cs-CZ"/>
        </w:rPr>
        <w:t>v účinném znění</w:t>
      </w:r>
    </w:p>
    <w:tbl>
      <w:tblPr>
        <w:tblW w:w="10421" w:type="dxa"/>
        <w:jc w:val="center"/>
        <w:tblCellMar>
          <w:left w:w="0" w:type="dxa"/>
          <w:right w:w="0" w:type="dxa"/>
        </w:tblCellMar>
        <w:tblLook w:val="04A0" w:firstRow="1" w:lastRow="0" w:firstColumn="1" w:lastColumn="0" w:noHBand="0" w:noVBand="1"/>
      </w:tblPr>
      <w:tblGrid>
        <w:gridCol w:w="1342"/>
        <w:gridCol w:w="3869"/>
        <w:gridCol w:w="1341"/>
        <w:gridCol w:w="3869"/>
      </w:tblGrid>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u w:val="single"/>
                <w:lang w:eastAsia="cs-CZ"/>
              </w:rPr>
              <w:t>Kupující</w:t>
            </w:r>
            <w:r w:rsidRPr="00233927">
              <w:rPr>
                <w:rFonts w:ascii="Arial" w:eastAsia="Times New Roman" w:hAnsi="Arial" w:cs="Arial"/>
                <w:color w:val="333333"/>
                <w:sz w:val="16"/>
                <w:szCs w:val="16"/>
                <w:lang w:eastAsia="cs-CZ"/>
              </w:rPr>
              <w:t>:</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WOOD &amp; PAPER</w:t>
            </w:r>
            <w:r w:rsidRPr="00233927">
              <w:rPr>
                <w:rFonts w:ascii="Arial" w:eastAsia="Times New Roman" w:hAnsi="Arial" w:cs="Arial"/>
                <w:color w:val="333333"/>
                <w:sz w:val="16"/>
                <w:szCs w:val="16"/>
                <w:lang w:eastAsia="cs-CZ"/>
              </w:rPr>
              <w:t> </w:t>
            </w:r>
            <w:r w:rsidRPr="00233927">
              <w:rPr>
                <w:rFonts w:ascii="Arial" w:eastAsia="Times New Roman" w:hAnsi="Arial" w:cs="Arial"/>
                <w:b/>
                <w:bCs/>
                <w:color w:val="333333"/>
                <w:sz w:val="16"/>
                <w:szCs w:val="16"/>
                <w:lang w:eastAsia="cs-CZ"/>
              </w:rPr>
              <w:t>a.s</w:t>
            </w:r>
            <w:r w:rsidRPr="00233927">
              <w:rPr>
                <w:rFonts w:ascii="Arial" w:eastAsia="Times New Roman" w:hAnsi="Arial" w:cs="Arial"/>
                <w:color w:val="333333"/>
                <w:sz w:val="16"/>
                <w:szCs w:val="16"/>
                <w:lang w:eastAsia="cs-CZ"/>
              </w:rPr>
              <w:t>.</w:t>
            </w: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u w:val="single"/>
                <w:lang w:eastAsia="cs-CZ"/>
              </w:rPr>
              <w:t>Prodávající</w:t>
            </w:r>
            <w:r w:rsidRPr="00233927">
              <w:rPr>
                <w:rFonts w:ascii="Arial" w:eastAsia="Times New Roman" w:hAnsi="Arial" w:cs="Arial"/>
                <w:color w:val="333333"/>
                <w:sz w:val="16"/>
                <w:szCs w:val="16"/>
                <w:lang w:eastAsia="cs-CZ"/>
              </w:rPr>
              <w:t>:</w:t>
            </w:r>
          </w:p>
        </w:tc>
        <w:tc>
          <w:tcPr>
            <w:tcW w:w="3869" w:type="dxa"/>
            <w:vAlign w:val="center"/>
            <w:hideMark/>
          </w:tcPr>
          <w:p w:rsidR="006C34A8" w:rsidRPr="001415C7" w:rsidRDefault="006C34A8" w:rsidP="007D0EE9">
            <w:pPr>
              <w:spacing w:after="0" w:line="240" w:lineRule="auto"/>
              <w:rPr>
                <w:rFonts w:ascii="Arial" w:eastAsia="Times New Roman" w:hAnsi="Arial" w:cs="Arial"/>
                <w:color w:val="333333"/>
                <w:sz w:val="16"/>
                <w:szCs w:val="16"/>
                <w:lang w:eastAsia="cs-CZ"/>
              </w:rPr>
            </w:pPr>
            <w:r>
              <w:rPr>
                <w:rFonts w:ascii="Arial" w:eastAsia="Times New Roman" w:hAnsi="Arial" w:cs="Arial"/>
                <w:color w:val="333333"/>
                <w:sz w:val="16"/>
                <w:szCs w:val="16"/>
                <w:lang w:eastAsia="cs-CZ"/>
              </w:rPr>
              <w:fldChar w:fldCharType="begin"/>
            </w:r>
            <w:r>
              <w:rPr>
                <w:rFonts w:ascii="Arial" w:eastAsia="Times New Roman" w:hAnsi="Arial" w:cs="Arial"/>
                <w:color w:val="333333"/>
                <w:sz w:val="16"/>
                <w:szCs w:val="16"/>
                <w:lang w:eastAsia="cs-CZ"/>
              </w:rPr>
              <w:instrText xml:space="preserve"> MERGEFIELD Název </w:instrText>
            </w:r>
            <w:r>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Lesy města Olomouce, a.s.</w:t>
            </w:r>
            <w:r>
              <w:rPr>
                <w:rFonts w:ascii="Arial" w:eastAsia="Times New Roman" w:hAnsi="Arial" w:cs="Arial"/>
                <w:color w:val="333333"/>
                <w:sz w:val="16"/>
                <w:szCs w:val="16"/>
                <w:lang w:eastAsia="cs-CZ"/>
              </w:rPr>
              <w:fldChar w:fldCharType="end"/>
            </w:r>
          </w:p>
        </w:tc>
      </w:tr>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Zastoupený:</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color w:val="333333"/>
                <w:sz w:val="16"/>
                <w:szCs w:val="16"/>
                <w:lang w:eastAsia="cs-CZ"/>
              </w:rPr>
              <w:t>Ing. Tomáš Pařík</w:t>
            </w: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Zastoupený:</w:t>
            </w:r>
          </w:p>
        </w:tc>
        <w:tc>
          <w:tcPr>
            <w:tcW w:w="3869" w:type="dxa"/>
            <w:vAlign w:val="center"/>
            <w:hideMark/>
          </w:tcPr>
          <w:p w:rsidR="006C34A8" w:rsidRPr="001415C7" w:rsidRDefault="006C34A8" w:rsidP="007D0EE9">
            <w:pPr>
              <w:spacing w:after="0" w:line="240" w:lineRule="auto"/>
              <w:rPr>
                <w:rFonts w:ascii="Arial" w:eastAsia="Times New Roman" w:hAnsi="Arial" w:cs="Arial"/>
                <w:color w:val="333333"/>
                <w:sz w:val="16"/>
                <w:szCs w:val="16"/>
                <w:lang w:eastAsia="cs-CZ"/>
              </w:rPr>
            </w:pPr>
            <w:r w:rsidRPr="001415C7">
              <w:rPr>
                <w:rFonts w:ascii="Arial" w:eastAsia="Times New Roman" w:hAnsi="Arial" w:cs="Arial"/>
                <w:color w:val="333333"/>
                <w:sz w:val="16"/>
                <w:szCs w:val="16"/>
                <w:lang w:eastAsia="cs-CZ"/>
              </w:rPr>
              <w:fldChar w:fldCharType="begin"/>
            </w:r>
            <w:r w:rsidRPr="001415C7">
              <w:rPr>
                <w:rFonts w:ascii="Arial" w:eastAsia="Times New Roman" w:hAnsi="Arial" w:cs="Arial"/>
                <w:color w:val="333333"/>
                <w:sz w:val="16"/>
                <w:szCs w:val="16"/>
                <w:lang w:eastAsia="cs-CZ"/>
              </w:rPr>
              <w:instrText xml:space="preserve"> MERGEFIELD Internetová_adresa_referenta </w:instrText>
            </w:r>
            <w:r w:rsidRPr="001415C7">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Ing. David Janásek</w:t>
            </w:r>
            <w:r w:rsidRPr="001415C7">
              <w:rPr>
                <w:rFonts w:ascii="Arial" w:eastAsia="Times New Roman" w:hAnsi="Arial" w:cs="Arial"/>
                <w:color w:val="333333"/>
                <w:sz w:val="16"/>
                <w:szCs w:val="16"/>
                <w:lang w:eastAsia="cs-CZ"/>
              </w:rPr>
              <w:fldChar w:fldCharType="end"/>
            </w:r>
          </w:p>
        </w:tc>
      </w:tr>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Bank. spojení:</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Pr>
                <w:rFonts w:ascii="Arial" w:eastAsia="Times New Roman" w:hAnsi="Arial" w:cs="Arial"/>
                <w:color w:val="333333"/>
                <w:sz w:val="16"/>
                <w:szCs w:val="16"/>
                <w:lang w:eastAsia="cs-CZ"/>
              </w:rPr>
              <w:t>CZK:</w:t>
            </w:r>
            <w:r w:rsidRPr="00233927">
              <w:rPr>
                <w:rFonts w:ascii="Arial" w:eastAsia="Times New Roman" w:hAnsi="Arial" w:cs="Arial"/>
                <w:color w:val="333333"/>
                <w:sz w:val="16"/>
                <w:szCs w:val="16"/>
                <w:lang w:eastAsia="cs-CZ"/>
              </w:rPr>
              <w:t xml:space="preserve"> </w:t>
            </w: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Bank. spojení:</w:t>
            </w:r>
          </w:p>
        </w:tc>
        <w:tc>
          <w:tcPr>
            <w:tcW w:w="3869" w:type="dxa"/>
            <w:vAlign w:val="center"/>
          </w:tcPr>
          <w:p w:rsidR="006C34A8" w:rsidRDefault="006C34A8" w:rsidP="007D0EE9">
            <w:pPr>
              <w:spacing w:after="0" w:line="240" w:lineRule="auto"/>
              <w:rPr>
                <w:rFonts w:ascii="Arial" w:eastAsia="Times New Roman" w:hAnsi="Arial" w:cs="Arial"/>
                <w:color w:val="333333"/>
                <w:sz w:val="16"/>
                <w:szCs w:val="16"/>
                <w:lang w:eastAsia="cs-CZ"/>
              </w:rPr>
            </w:pPr>
            <w:r>
              <w:rPr>
                <w:rFonts w:ascii="Arial" w:eastAsia="Times New Roman" w:hAnsi="Arial" w:cs="Arial"/>
                <w:color w:val="333333"/>
                <w:sz w:val="16"/>
                <w:szCs w:val="16"/>
                <w:lang w:eastAsia="cs-CZ"/>
              </w:rPr>
              <w:fldChar w:fldCharType="begin"/>
            </w:r>
            <w:r>
              <w:rPr>
                <w:rFonts w:ascii="Arial" w:eastAsia="Times New Roman" w:hAnsi="Arial" w:cs="Arial"/>
                <w:color w:val="333333"/>
                <w:sz w:val="16"/>
                <w:szCs w:val="16"/>
                <w:lang w:eastAsia="cs-CZ"/>
              </w:rPr>
              <w:instrText xml:space="preserve"> MERGEFIELD Bankúčet_1 </w:instrText>
            </w:r>
            <w:r>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 xml:space="preserve">CZK: </w:t>
            </w:r>
            <w:r>
              <w:rPr>
                <w:rFonts w:ascii="Arial" w:eastAsia="Times New Roman" w:hAnsi="Arial" w:cs="Arial"/>
                <w:color w:val="333333"/>
                <w:sz w:val="16"/>
                <w:szCs w:val="16"/>
                <w:lang w:eastAsia="cs-CZ"/>
              </w:rPr>
              <w:fldChar w:fldCharType="end"/>
            </w:r>
          </w:p>
          <w:p w:rsidR="006C34A8" w:rsidRPr="001415C7" w:rsidRDefault="006C34A8" w:rsidP="007D0EE9">
            <w:pPr>
              <w:spacing w:after="0" w:line="240" w:lineRule="auto"/>
              <w:rPr>
                <w:rFonts w:ascii="Arial" w:eastAsia="Times New Roman" w:hAnsi="Arial" w:cs="Arial"/>
                <w:color w:val="333333"/>
                <w:sz w:val="16"/>
                <w:szCs w:val="16"/>
                <w:lang w:eastAsia="cs-CZ"/>
              </w:rPr>
            </w:pPr>
            <w:r>
              <w:rPr>
                <w:rFonts w:ascii="Arial" w:eastAsia="Times New Roman" w:hAnsi="Arial" w:cs="Arial"/>
                <w:color w:val="333333"/>
                <w:sz w:val="16"/>
                <w:szCs w:val="16"/>
                <w:lang w:eastAsia="cs-CZ"/>
              </w:rPr>
              <w:fldChar w:fldCharType="begin"/>
            </w:r>
            <w:r>
              <w:rPr>
                <w:rFonts w:ascii="Arial" w:eastAsia="Times New Roman" w:hAnsi="Arial" w:cs="Arial"/>
                <w:color w:val="333333"/>
                <w:sz w:val="16"/>
                <w:szCs w:val="16"/>
                <w:lang w:eastAsia="cs-CZ"/>
              </w:rPr>
              <w:instrText xml:space="preserve"> MERGEFIELD Bankúčet_2 </w:instrText>
            </w:r>
            <w:r>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 xml:space="preserve">EUR: </w:t>
            </w:r>
            <w:r>
              <w:rPr>
                <w:rFonts w:ascii="Arial" w:eastAsia="Times New Roman" w:hAnsi="Arial" w:cs="Arial"/>
                <w:color w:val="333333"/>
                <w:sz w:val="16"/>
                <w:szCs w:val="16"/>
                <w:lang w:eastAsia="cs-CZ"/>
              </w:rPr>
              <w:fldChar w:fldCharType="end"/>
            </w:r>
          </w:p>
        </w:tc>
      </w:tr>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IČO/DIČ:</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color w:val="333333"/>
                <w:sz w:val="16"/>
                <w:szCs w:val="16"/>
                <w:lang w:eastAsia="cs-CZ"/>
              </w:rPr>
              <w:t>26229854/ CZ26229854</w:t>
            </w: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IČO/DIČ:</w:t>
            </w:r>
          </w:p>
        </w:tc>
        <w:tc>
          <w:tcPr>
            <w:tcW w:w="3869" w:type="dxa"/>
            <w:vAlign w:val="center"/>
          </w:tcPr>
          <w:p w:rsidR="006C34A8" w:rsidRPr="001415C7" w:rsidRDefault="006C34A8" w:rsidP="007D0EE9">
            <w:pPr>
              <w:spacing w:after="0" w:line="240" w:lineRule="auto"/>
              <w:rPr>
                <w:rFonts w:ascii="Arial" w:eastAsia="Times New Roman" w:hAnsi="Arial" w:cs="Arial"/>
                <w:color w:val="333333"/>
                <w:sz w:val="16"/>
                <w:szCs w:val="16"/>
                <w:lang w:eastAsia="cs-CZ"/>
              </w:rPr>
            </w:pPr>
            <w:r w:rsidRPr="001415C7">
              <w:rPr>
                <w:rFonts w:ascii="Arial" w:eastAsia="Times New Roman" w:hAnsi="Arial" w:cs="Arial"/>
                <w:color w:val="333333"/>
                <w:sz w:val="16"/>
                <w:szCs w:val="16"/>
                <w:lang w:eastAsia="cs-CZ"/>
              </w:rPr>
              <w:fldChar w:fldCharType="begin"/>
            </w:r>
            <w:r w:rsidRPr="001415C7">
              <w:rPr>
                <w:rFonts w:ascii="Arial" w:eastAsia="Times New Roman" w:hAnsi="Arial" w:cs="Arial"/>
                <w:color w:val="333333"/>
                <w:sz w:val="16"/>
                <w:szCs w:val="16"/>
                <w:lang w:eastAsia="cs-CZ"/>
              </w:rPr>
              <w:instrText xml:space="preserve"> MERGEFIELD Daňové_číslo_2 </w:instrText>
            </w:r>
            <w:r w:rsidRPr="001415C7">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28633032</w:t>
            </w:r>
            <w:r w:rsidRPr="001415C7">
              <w:rPr>
                <w:rFonts w:ascii="Arial" w:eastAsia="Times New Roman" w:hAnsi="Arial" w:cs="Arial"/>
                <w:color w:val="333333"/>
                <w:sz w:val="16"/>
                <w:szCs w:val="16"/>
                <w:lang w:eastAsia="cs-CZ"/>
              </w:rPr>
              <w:fldChar w:fldCharType="end"/>
            </w:r>
            <w:r w:rsidRPr="001415C7">
              <w:rPr>
                <w:rFonts w:ascii="Arial" w:eastAsia="Times New Roman" w:hAnsi="Arial" w:cs="Arial"/>
                <w:color w:val="333333"/>
                <w:sz w:val="16"/>
                <w:szCs w:val="16"/>
                <w:lang w:eastAsia="cs-CZ"/>
              </w:rPr>
              <w:t xml:space="preserve"> / </w:t>
            </w:r>
            <w:r w:rsidRPr="001415C7">
              <w:rPr>
                <w:rFonts w:ascii="Arial" w:eastAsia="Times New Roman" w:hAnsi="Arial" w:cs="Arial"/>
                <w:color w:val="333333"/>
                <w:sz w:val="16"/>
                <w:szCs w:val="16"/>
                <w:lang w:eastAsia="cs-CZ"/>
              </w:rPr>
              <w:fldChar w:fldCharType="begin"/>
            </w:r>
            <w:r w:rsidRPr="001415C7">
              <w:rPr>
                <w:rFonts w:ascii="Arial" w:eastAsia="Times New Roman" w:hAnsi="Arial" w:cs="Arial"/>
                <w:color w:val="333333"/>
                <w:sz w:val="16"/>
                <w:szCs w:val="16"/>
                <w:lang w:eastAsia="cs-CZ"/>
              </w:rPr>
              <w:instrText xml:space="preserve"> MERGEFIELD IČO_DPH </w:instrText>
            </w:r>
            <w:r w:rsidRPr="001415C7">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CZ28633032</w:t>
            </w:r>
            <w:r w:rsidRPr="001415C7">
              <w:rPr>
                <w:rFonts w:ascii="Arial" w:eastAsia="Times New Roman" w:hAnsi="Arial" w:cs="Arial"/>
                <w:color w:val="333333"/>
                <w:sz w:val="16"/>
                <w:szCs w:val="16"/>
                <w:lang w:eastAsia="cs-CZ"/>
              </w:rPr>
              <w:fldChar w:fldCharType="end"/>
            </w:r>
          </w:p>
        </w:tc>
      </w:tr>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Zápis v OR:</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color w:val="333333"/>
                <w:sz w:val="16"/>
                <w:szCs w:val="16"/>
                <w:lang w:eastAsia="cs-CZ"/>
              </w:rPr>
              <w:t>KS v Brně, odd. B, vložka 3439</w:t>
            </w: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Zápis v OR:</w:t>
            </w:r>
          </w:p>
        </w:tc>
        <w:tc>
          <w:tcPr>
            <w:tcW w:w="3869" w:type="dxa"/>
            <w:vAlign w:val="center"/>
            <w:hideMark/>
          </w:tcPr>
          <w:p w:rsidR="006C34A8" w:rsidRPr="001415C7" w:rsidRDefault="006C34A8" w:rsidP="007D0EE9">
            <w:pPr>
              <w:spacing w:after="0" w:line="240" w:lineRule="auto"/>
              <w:rPr>
                <w:rFonts w:ascii="Arial" w:eastAsia="Times New Roman" w:hAnsi="Arial" w:cs="Arial"/>
                <w:color w:val="333333"/>
                <w:sz w:val="16"/>
                <w:szCs w:val="16"/>
                <w:lang w:eastAsia="cs-CZ"/>
              </w:rPr>
            </w:pPr>
            <w:r>
              <w:rPr>
                <w:rFonts w:ascii="Arial" w:eastAsia="Times New Roman" w:hAnsi="Arial" w:cs="Arial"/>
                <w:color w:val="333333"/>
                <w:sz w:val="16"/>
                <w:szCs w:val="16"/>
                <w:lang w:eastAsia="cs-CZ"/>
              </w:rPr>
              <w:fldChar w:fldCharType="begin"/>
            </w:r>
            <w:r>
              <w:rPr>
                <w:rFonts w:ascii="Arial" w:eastAsia="Times New Roman" w:hAnsi="Arial" w:cs="Arial"/>
                <w:color w:val="333333"/>
                <w:sz w:val="16"/>
                <w:szCs w:val="16"/>
                <w:lang w:eastAsia="cs-CZ"/>
              </w:rPr>
              <w:instrText xml:space="preserve"> MERGEFIELD Zápis_v_rejstříku </w:instrText>
            </w:r>
            <w:r>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KS v Ostravě,oddíl B,vl.10156</w:t>
            </w:r>
            <w:r>
              <w:rPr>
                <w:rFonts w:ascii="Arial" w:eastAsia="Times New Roman" w:hAnsi="Arial" w:cs="Arial"/>
                <w:color w:val="333333"/>
                <w:sz w:val="16"/>
                <w:szCs w:val="16"/>
                <w:lang w:eastAsia="cs-CZ"/>
              </w:rPr>
              <w:fldChar w:fldCharType="end"/>
            </w:r>
          </w:p>
        </w:tc>
      </w:tr>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Telefon/Fax</w:t>
            </w:r>
            <w:r w:rsidRPr="00233927">
              <w:rPr>
                <w:rFonts w:ascii="Arial" w:eastAsia="Times New Roman" w:hAnsi="Arial" w:cs="Arial"/>
                <w:color w:val="333333"/>
                <w:sz w:val="16"/>
                <w:szCs w:val="16"/>
                <w:lang w:eastAsia="cs-CZ"/>
              </w:rPr>
              <w:t>:</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Telefon/Fax</w:t>
            </w:r>
            <w:r w:rsidRPr="00233927">
              <w:rPr>
                <w:rFonts w:ascii="Arial" w:eastAsia="Times New Roman" w:hAnsi="Arial" w:cs="Arial"/>
                <w:color w:val="333333"/>
                <w:sz w:val="16"/>
                <w:szCs w:val="16"/>
                <w:lang w:eastAsia="cs-CZ"/>
              </w:rPr>
              <w:t>:</w:t>
            </w:r>
          </w:p>
        </w:tc>
        <w:tc>
          <w:tcPr>
            <w:tcW w:w="3869" w:type="dxa"/>
            <w:vAlign w:val="center"/>
            <w:hideMark/>
          </w:tcPr>
          <w:p w:rsidR="006C34A8" w:rsidRPr="001415C7" w:rsidRDefault="006C34A8" w:rsidP="007D0EE9">
            <w:pPr>
              <w:spacing w:after="0" w:line="240" w:lineRule="auto"/>
              <w:rPr>
                <w:rFonts w:ascii="Arial" w:eastAsia="Times New Roman" w:hAnsi="Arial" w:cs="Arial"/>
                <w:color w:val="333333"/>
                <w:sz w:val="16"/>
                <w:szCs w:val="16"/>
                <w:lang w:eastAsia="cs-CZ"/>
              </w:rPr>
            </w:pPr>
          </w:p>
        </w:tc>
      </w:tr>
      <w:tr w:rsidR="006C34A8" w:rsidRPr="00233927" w:rsidTr="007D0EE9">
        <w:trPr>
          <w:trHeight w:val="225"/>
          <w:jc w:val="center"/>
        </w:trPr>
        <w:tc>
          <w:tcPr>
            <w:tcW w:w="1342"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Adresa:</w:t>
            </w:r>
          </w:p>
        </w:tc>
        <w:tc>
          <w:tcPr>
            <w:tcW w:w="3869"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color w:val="333333"/>
                <w:sz w:val="16"/>
                <w:szCs w:val="16"/>
                <w:lang w:eastAsia="cs-CZ"/>
              </w:rPr>
              <w:t>Hlína 138, 664 91 Ivančice</w:t>
            </w:r>
          </w:p>
        </w:tc>
        <w:tc>
          <w:tcPr>
            <w:tcW w:w="1341" w:type="dxa"/>
            <w:vAlign w:val="center"/>
            <w:hideMark/>
          </w:tcPr>
          <w:p w:rsidR="006C34A8" w:rsidRPr="00233927" w:rsidRDefault="006C34A8" w:rsidP="007D0EE9">
            <w:pPr>
              <w:spacing w:after="0" w:line="240" w:lineRule="auto"/>
              <w:rPr>
                <w:rFonts w:ascii="Arial" w:eastAsia="Times New Roman" w:hAnsi="Arial" w:cs="Arial"/>
                <w:color w:val="333333"/>
                <w:sz w:val="20"/>
                <w:szCs w:val="20"/>
                <w:lang w:eastAsia="cs-CZ"/>
              </w:rPr>
            </w:pPr>
            <w:r w:rsidRPr="00233927">
              <w:rPr>
                <w:rFonts w:ascii="Arial" w:eastAsia="Times New Roman" w:hAnsi="Arial" w:cs="Arial"/>
                <w:b/>
                <w:bCs/>
                <w:color w:val="333333"/>
                <w:sz w:val="16"/>
                <w:szCs w:val="16"/>
                <w:lang w:eastAsia="cs-CZ"/>
              </w:rPr>
              <w:t>Adresa:</w:t>
            </w:r>
          </w:p>
        </w:tc>
        <w:tc>
          <w:tcPr>
            <w:tcW w:w="3869" w:type="dxa"/>
            <w:vAlign w:val="center"/>
          </w:tcPr>
          <w:p w:rsidR="006C34A8" w:rsidRPr="001415C7" w:rsidRDefault="006C34A8" w:rsidP="007D0EE9">
            <w:pPr>
              <w:spacing w:after="0" w:line="240" w:lineRule="auto"/>
              <w:rPr>
                <w:rFonts w:ascii="Arial" w:eastAsia="Times New Roman" w:hAnsi="Arial" w:cs="Arial"/>
                <w:color w:val="333333"/>
                <w:sz w:val="16"/>
                <w:szCs w:val="16"/>
                <w:lang w:eastAsia="cs-CZ"/>
              </w:rPr>
            </w:pPr>
            <w:r w:rsidRPr="001415C7">
              <w:rPr>
                <w:rFonts w:ascii="Arial" w:eastAsia="Times New Roman" w:hAnsi="Arial" w:cs="Arial"/>
                <w:color w:val="333333"/>
                <w:sz w:val="16"/>
                <w:szCs w:val="16"/>
                <w:lang w:eastAsia="cs-CZ"/>
              </w:rPr>
              <w:fldChar w:fldCharType="begin"/>
            </w:r>
            <w:r w:rsidRPr="001415C7">
              <w:rPr>
                <w:rFonts w:ascii="Arial" w:eastAsia="Times New Roman" w:hAnsi="Arial" w:cs="Arial"/>
                <w:color w:val="333333"/>
                <w:sz w:val="16"/>
                <w:szCs w:val="16"/>
                <w:lang w:eastAsia="cs-CZ"/>
              </w:rPr>
              <w:instrText xml:space="preserve"> MERGEFIELD Ulice </w:instrText>
            </w:r>
            <w:r w:rsidRPr="001415C7">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Neředín, Lomená 177/4</w:t>
            </w:r>
            <w:r w:rsidRPr="001415C7">
              <w:rPr>
                <w:rFonts w:ascii="Arial" w:eastAsia="Times New Roman" w:hAnsi="Arial" w:cs="Arial"/>
                <w:color w:val="333333"/>
                <w:sz w:val="16"/>
                <w:szCs w:val="16"/>
                <w:lang w:eastAsia="cs-CZ"/>
              </w:rPr>
              <w:fldChar w:fldCharType="end"/>
            </w:r>
            <w:r w:rsidRPr="001415C7">
              <w:rPr>
                <w:rFonts w:ascii="Arial" w:eastAsia="Times New Roman" w:hAnsi="Arial" w:cs="Arial"/>
                <w:color w:val="333333"/>
                <w:sz w:val="16"/>
                <w:szCs w:val="16"/>
                <w:lang w:eastAsia="cs-CZ"/>
              </w:rPr>
              <w:t xml:space="preserve">, </w:t>
            </w:r>
            <w:r w:rsidRPr="001415C7">
              <w:rPr>
                <w:rFonts w:ascii="Arial" w:eastAsia="Times New Roman" w:hAnsi="Arial" w:cs="Arial"/>
                <w:color w:val="333333"/>
                <w:sz w:val="16"/>
                <w:szCs w:val="16"/>
                <w:lang w:eastAsia="cs-CZ"/>
              </w:rPr>
              <w:fldChar w:fldCharType="begin"/>
            </w:r>
            <w:r w:rsidRPr="001415C7">
              <w:rPr>
                <w:rFonts w:ascii="Arial" w:eastAsia="Times New Roman" w:hAnsi="Arial" w:cs="Arial"/>
                <w:color w:val="333333"/>
                <w:sz w:val="16"/>
                <w:szCs w:val="16"/>
                <w:lang w:eastAsia="cs-CZ"/>
              </w:rPr>
              <w:instrText xml:space="preserve"> MERGEFIELD PSČ </w:instrText>
            </w:r>
            <w:r w:rsidRPr="001415C7">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779 00</w:t>
            </w:r>
            <w:r w:rsidRPr="001415C7">
              <w:rPr>
                <w:rFonts w:ascii="Arial" w:eastAsia="Times New Roman" w:hAnsi="Arial" w:cs="Arial"/>
                <w:color w:val="333333"/>
                <w:sz w:val="16"/>
                <w:szCs w:val="16"/>
                <w:lang w:eastAsia="cs-CZ"/>
              </w:rPr>
              <w:fldChar w:fldCharType="end"/>
            </w:r>
            <w:r w:rsidRPr="001415C7">
              <w:rPr>
                <w:rFonts w:ascii="Arial" w:eastAsia="Times New Roman" w:hAnsi="Arial" w:cs="Arial"/>
                <w:color w:val="333333"/>
                <w:sz w:val="16"/>
                <w:szCs w:val="16"/>
                <w:lang w:eastAsia="cs-CZ"/>
              </w:rPr>
              <w:t xml:space="preserve"> </w:t>
            </w:r>
            <w:r w:rsidRPr="001415C7">
              <w:rPr>
                <w:rFonts w:ascii="Arial" w:eastAsia="Times New Roman" w:hAnsi="Arial" w:cs="Arial"/>
                <w:color w:val="333333"/>
                <w:sz w:val="16"/>
                <w:szCs w:val="16"/>
                <w:lang w:eastAsia="cs-CZ"/>
              </w:rPr>
              <w:fldChar w:fldCharType="begin"/>
            </w:r>
            <w:r w:rsidRPr="001415C7">
              <w:rPr>
                <w:rFonts w:ascii="Arial" w:eastAsia="Times New Roman" w:hAnsi="Arial" w:cs="Arial"/>
                <w:color w:val="333333"/>
                <w:sz w:val="16"/>
                <w:szCs w:val="16"/>
                <w:lang w:eastAsia="cs-CZ"/>
              </w:rPr>
              <w:instrText xml:space="preserve"> MERGEFIELD Místo </w:instrText>
            </w:r>
            <w:r w:rsidRPr="001415C7">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Olomouc</w:t>
            </w:r>
            <w:r w:rsidRPr="001415C7">
              <w:rPr>
                <w:rFonts w:ascii="Arial" w:eastAsia="Times New Roman" w:hAnsi="Arial" w:cs="Arial"/>
                <w:color w:val="333333"/>
                <w:sz w:val="16"/>
                <w:szCs w:val="16"/>
                <w:lang w:eastAsia="cs-CZ"/>
              </w:rPr>
              <w:fldChar w:fldCharType="end"/>
            </w:r>
          </w:p>
        </w:tc>
      </w:tr>
      <w:tr w:rsidR="006C34A8" w:rsidRPr="00233927" w:rsidTr="007D0EE9">
        <w:trPr>
          <w:trHeight w:val="225"/>
          <w:jc w:val="center"/>
        </w:trPr>
        <w:tc>
          <w:tcPr>
            <w:tcW w:w="1342" w:type="dxa"/>
            <w:vAlign w:val="center"/>
          </w:tcPr>
          <w:p w:rsidR="006C34A8" w:rsidRPr="00233927" w:rsidRDefault="006C34A8" w:rsidP="007D0EE9">
            <w:pPr>
              <w:spacing w:after="0" w:line="240" w:lineRule="auto"/>
              <w:rPr>
                <w:rFonts w:ascii="Arial" w:eastAsia="Times New Roman" w:hAnsi="Arial" w:cs="Arial"/>
                <w:b/>
                <w:bCs/>
                <w:color w:val="333333"/>
                <w:sz w:val="16"/>
                <w:szCs w:val="16"/>
                <w:lang w:eastAsia="cs-CZ"/>
              </w:rPr>
            </w:pPr>
            <w:r>
              <w:rPr>
                <w:rFonts w:ascii="Arial" w:eastAsia="Times New Roman" w:hAnsi="Arial" w:cs="Arial"/>
                <w:b/>
                <w:bCs/>
                <w:color w:val="333333"/>
                <w:sz w:val="16"/>
                <w:szCs w:val="16"/>
                <w:lang w:eastAsia="cs-CZ"/>
              </w:rPr>
              <w:t>Email:</w:t>
            </w:r>
          </w:p>
        </w:tc>
        <w:tc>
          <w:tcPr>
            <w:tcW w:w="3869" w:type="dxa"/>
            <w:vAlign w:val="center"/>
          </w:tcPr>
          <w:p w:rsidR="006C34A8" w:rsidRPr="00233927" w:rsidRDefault="006C34A8" w:rsidP="007D0EE9">
            <w:pPr>
              <w:spacing w:after="0" w:line="240" w:lineRule="auto"/>
              <w:rPr>
                <w:rFonts w:ascii="Arial" w:eastAsia="Times New Roman" w:hAnsi="Arial" w:cs="Arial"/>
                <w:color w:val="333333"/>
                <w:sz w:val="16"/>
                <w:szCs w:val="16"/>
                <w:lang w:eastAsia="cs-CZ"/>
              </w:rPr>
            </w:pPr>
          </w:p>
        </w:tc>
        <w:tc>
          <w:tcPr>
            <w:tcW w:w="1341" w:type="dxa"/>
            <w:vAlign w:val="center"/>
          </w:tcPr>
          <w:p w:rsidR="006C34A8" w:rsidRPr="00233927" w:rsidRDefault="006C34A8" w:rsidP="007D0EE9">
            <w:pPr>
              <w:spacing w:after="0" w:line="240" w:lineRule="auto"/>
              <w:rPr>
                <w:rFonts w:ascii="Arial" w:eastAsia="Times New Roman" w:hAnsi="Arial" w:cs="Arial"/>
                <w:b/>
                <w:bCs/>
                <w:color w:val="333333"/>
                <w:sz w:val="16"/>
                <w:szCs w:val="16"/>
                <w:lang w:eastAsia="cs-CZ"/>
              </w:rPr>
            </w:pPr>
            <w:r>
              <w:rPr>
                <w:rFonts w:ascii="Arial" w:eastAsia="Times New Roman" w:hAnsi="Arial" w:cs="Arial"/>
                <w:b/>
                <w:bCs/>
                <w:color w:val="333333"/>
                <w:sz w:val="16"/>
                <w:szCs w:val="16"/>
                <w:lang w:eastAsia="cs-CZ"/>
              </w:rPr>
              <w:t>Email:</w:t>
            </w:r>
          </w:p>
        </w:tc>
        <w:tc>
          <w:tcPr>
            <w:tcW w:w="3869" w:type="dxa"/>
            <w:vAlign w:val="center"/>
          </w:tcPr>
          <w:p w:rsidR="006C34A8" w:rsidRPr="001415C7" w:rsidRDefault="006C34A8" w:rsidP="007D0EE9">
            <w:pPr>
              <w:spacing w:after="0" w:line="240" w:lineRule="auto"/>
              <w:rPr>
                <w:rFonts w:ascii="Arial" w:eastAsia="Times New Roman" w:hAnsi="Arial" w:cs="Arial"/>
                <w:color w:val="333333"/>
                <w:sz w:val="16"/>
                <w:szCs w:val="16"/>
                <w:lang w:eastAsia="cs-CZ"/>
              </w:rPr>
            </w:pPr>
          </w:p>
        </w:tc>
      </w:tr>
      <w:tr w:rsidR="006C34A8" w:rsidRPr="00233927" w:rsidTr="007D0EE9">
        <w:trPr>
          <w:trHeight w:val="225"/>
          <w:jc w:val="center"/>
        </w:trPr>
        <w:tc>
          <w:tcPr>
            <w:tcW w:w="1342" w:type="dxa"/>
            <w:vAlign w:val="center"/>
          </w:tcPr>
          <w:p w:rsidR="006C34A8" w:rsidRPr="00233927" w:rsidRDefault="006C34A8" w:rsidP="007D0EE9">
            <w:pPr>
              <w:spacing w:after="0" w:line="240" w:lineRule="auto"/>
              <w:rPr>
                <w:rFonts w:ascii="Arial" w:eastAsia="Times New Roman" w:hAnsi="Arial" w:cs="Arial"/>
                <w:b/>
                <w:bCs/>
                <w:color w:val="333333"/>
                <w:sz w:val="16"/>
                <w:szCs w:val="16"/>
                <w:lang w:eastAsia="cs-CZ"/>
              </w:rPr>
            </w:pPr>
          </w:p>
        </w:tc>
        <w:tc>
          <w:tcPr>
            <w:tcW w:w="3869" w:type="dxa"/>
            <w:vAlign w:val="center"/>
          </w:tcPr>
          <w:p w:rsidR="006C34A8" w:rsidRPr="00233927" w:rsidRDefault="006C34A8" w:rsidP="007D0EE9">
            <w:pPr>
              <w:spacing w:after="0" w:line="240" w:lineRule="auto"/>
              <w:rPr>
                <w:rFonts w:ascii="Arial" w:eastAsia="Times New Roman" w:hAnsi="Arial" w:cs="Arial"/>
                <w:color w:val="333333"/>
                <w:sz w:val="16"/>
                <w:szCs w:val="16"/>
                <w:lang w:eastAsia="cs-CZ"/>
              </w:rPr>
            </w:pPr>
          </w:p>
        </w:tc>
        <w:tc>
          <w:tcPr>
            <w:tcW w:w="1341" w:type="dxa"/>
            <w:vAlign w:val="center"/>
          </w:tcPr>
          <w:p w:rsidR="006C34A8" w:rsidRPr="00233927" w:rsidRDefault="006C34A8" w:rsidP="007D0EE9">
            <w:pPr>
              <w:spacing w:after="0" w:line="240" w:lineRule="auto"/>
              <w:rPr>
                <w:rFonts w:ascii="Arial" w:eastAsia="Times New Roman" w:hAnsi="Arial" w:cs="Arial"/>
                <w:b/>
                <w:bCs/>
                <w:color w:val="333333"/>
                <w:sz w:val="16"/>
                <w:szCs w:val="16"/>
                <w:lang w:eastAsia="cs-CZ"/>
              </w:rPr>
            </w:pPr>
            <w:r>
              <w:rPr>
                <w:rFonts w:ascii="Arial" w:eastAsia="Times New Roman" w:hAnsi="Arial" w:cs="Arial"/>
                <w:b/>
                <w:bCs/>
                <w:color w:val="333333"/>
                <w:sz w:val="16"/>
                <w:szCs w:val="16"/>
                <w:lang w:eastAsia="cs-CZ"/>
              </w:rPr>
              <w:t>W&amp;P SAP ID:</w:t>
            </w:r>
          </w:p>
        </w:tc>
        <w:tc>
          <w:tcPr>
            <w:tcW w:w="3869" w:type="dxa"/>
            <w:vAlign w:val="center"/>
          </w:tcPr>
          <w:p w:rsidR="006C34A8" w:rsidRPr="001415C7" w:rsidRDefault="006C34A8" w:rsidP="007D0EE9">
            <w:pPr>
              <w:spacing w:after="0" w:line="240" w:lineRule="auto"/>
              <w:rPr>
                <w:rFonts w:ascii="Arial" w:eastAsia="Times New Roman" w:hAnsi="Arial" w:cs="Arial"/>
                <w:color w:val="333333"/>
                <w:sz w:val="16"/>
                <w:szCs w:val="16"/>
                <w:lang w:eastAsia="cs-CZ"/>
              </w:rPr>
            </w:pPr>
            <w:r>
              <w:rPr>
                <w:rFonts w:ascii="Arial" w:eastAsia="Times New Roman" w:hAnsi="Arial" w:cs="Arial"/>
                <w:color w:val="333333"/>
                <w:sz w:val="16"/>
                <w:szCs w:val="16"/>
                <w:lang w:eastAsia="cs-CZ"/>
              </w:rPr>
              <w:fldChar w:fldCharType="begin"/>
            </w:r>
            <w:r>
              <w:rPr>
                <w:rFonts w:ascii="Arial" w:eastAsia="Times New Roman" w:hAnsi="Arial" w:cs="Arial"/>
                <w:color w:val="333333"/>
                <w:sz w:val="16"/>
                <w:szCs w:val="16"/>
                <w:lang w:eastAsia="cs-CZ"/>
              </w:rPr>
              <w:instrText xml:space="preserve"> MERGEFIELD Dodavatel </w:instrText>
            </w:r>
            <w:r>
              <w:rPr>
                <w:rFonts w:ascii="Arial" w:eastAsia="Times New Roman" w:hAnsi="Arial" w:cs="Arial"/>
                <w:color w:val="333333"/>
                <w:sz w:val="16"/>
                <w:szCs w:val="16"/>
                <w:lang w:eastAsia="cs-CZ"/>
              </w:rPr>
              <w:fldChar w:fldCharType="separate"/>
            </w:r>
            <w:r w:rsidR="00CC247F" w:rsidRPr="00C276AE">
              <w:rPr>
                <w:rFonts w:ascii="Arial" w:eastAsia="Times New Roman" w:hAnsi="Arial" w:cs="Arial"/>
                <w:noProof/>
                <w:color w:val="333333"/>
                <w:sz w:val="16"/>
                <w:szCs w:val="16"/>
                <w:lang w:eastAsia="cs-CZ"/>
              </w:rPr>
              <w:t>1001428</w:t>
            </w:r>
            <w:r>
              <w:rPr>
                <w:rFonts w:ascii="Arial" w:eastAsia="Times New Roman" w:hAnsi="Arial" w:cs="Arial"/>
                <w:color w:val="333333"/>
                <w:sz w:val="16"/>
                <w:szCs w:val="16"/>
                <w:lang w:eastAsia="cs-CZ"/>
              </w:rPr>
              <w:fldChar w:fldCharType="end"/>
            </w:r>
          </w:p>
        </w:tc>
      </w:tr>
    </w:tbl>
    <w:p w:rsidR="006C0CC1" w:rsidRPr="006C0CC1" w:rsidRDefault="006C0CC1" w:rsidP="006C0CC1">
      <w:pPr>
        <w:spacing w:after="240" w:line="240" w:lineRule="atLeast"/>
        <w:ind w:left="300"/>
        <w:rPr>
          <w:rFonts w:ascii="Arial" w:eastAsia="Times New Roman" w:hAnsi="Arial" w:cs="Arial"/>
          <w:color w:val="333333"/>
          <w:sz w:val="20"/>
          <w:szCs w:val="20"/>
          <w:lang w:eastAsia="cs-CZ"/>
        </w:rPr>
      </w:pPr>
    </w:p>
    <w:p w:rsidR="00F83FE6" w:rsidRPr="0086772F" w:rsidRDefault="00CF50A1" w:rsidP="00BE7EB2">
      <w:pPr>
        <w:numPr>
          <w:ilvl w:val="0"/>
          <w:numId w:val="1"/>
        </w:numPr>
        <w:spacing w:after="240" w:line="240" w:lineRule="atLeast"/>
        <w:ind w:left="300"/>
        <w:rPr>
          <w:rFonts w:ascii="Arial" w:eastAsia="Times New Roman" w:hAnsi="Arial" w:cs="Arial"/>
          <w:color w:val="333333"/>
          <w:sz w:val="20"/>
          <w:szCs w:val="20"/>
          <w:lang w:eastAsia="cs-CZ"/>
        </w:rPr>
      </w:pPr>
      <w:r w:rsidRPr="00CF50A1">
        <w:rPr>
          <w:rFonts w:ascii="Arial" w:eastAsia="Times New Roman" w:hAnsi="Arial" w:cs="Arial"/>
          <w:b/>
          <w:bCs/>
          <w:color w:val="333333"/>
          <w:sz w:val="18"/>
          <w:szCs w:val="18"/>
          <w:lang w:eastAsia="cs-CZ"/>
        </w:rPr>
        <w:t>Předmět smlouvy: dodávky</w:t>
      </w:r>
      <w:r w:rsidRPr="00CF50A1">
        <w:rPr>
          <w:rFonts w:ascii="Arial" w:eastAsia="Times New Roman" w:hAnsi="Arial" w:cs="Arial"/>
          <w:color w:val="333333"/>
          <w:sz w:val="18"/>
          <w:szCs w:val="18"/>
          <w:lang w:eastAsia="cs-CZ"/>
        </w:rPr>
        <w:t> </w:t>
      </w:r>
      <w:r w:rsidRPr="00CF50A1">
        <w:rPr>
          <w:rFonts w:ascii="Arial" w:eastAsia="Times New Roman" w:hAnsi="Arial" w:cs="Arial"/>
          <w:b/>
          <w:bCs/>
          <w:color w:val="333333"/>
          <w:sz w:val="18"/>
          <w:szCs w:val="18"/>
          <w:lang w:eastAsia="cs-CZ"/>
        </w:rPr>
        <w:t xml:space="preserve">sortimentu jehličnatých kulatin III. </w:t>
      </w:r>
      <w:proofErr w:type="spellStart"/>
      <w:r w:rsidRPr="00CF50A1">
        <w:rPr>
          <w:rFonts w:ascii="Arial" w:eastAsia="Times New Roman" w:hAnsi="Arial" w:cs="Arial"/>
          <w:b/>
          <w:bCs/>
          <w:color w:val="333333"/>
          <w:sz w:val="18"/>
          <w:szCs w:val="18"/>
          <w:lang w:eastAsia="cs-CZ"/>
        </w:rPr>
        <w:t>tř</w:t>
      </w:r>
      <w:proofErr w:type="spellEnd"/>
      <w:r w:rsidRPr="00CF50A1">
        <w:rPr>
          <w:rFonts w:ascii="Arial" w:eastAsia="Times New Roman" w:hAnsi="Arial" w:cs="Arial"/>
          <w:b/>
          <w:bCs/>
          <w:color w:val="333333"/>
          <w:sz w:val="18"/>
          <w:szCs w:val="18"/>
          <w:lang w:eastAsia="cs-CZ"/>
        </w:rPr>
        <w:t xml:space="preserve"> z OM do HI </w:t>
      </w:r>
      <w:proofErr w:type="spellStart"/>
      <w:r w:rsidRPr="00CF50A1">
        <w:rPr>
          <w:rFonts w:ascii="Arial" w:eastAsia="Times New Roman" w:hAnsi="Arial" w:cs="Arial"/>
          <w:b/>
          <w:bCs/>
          <w:color w:val="333333"/>
          <w:sz w:val="18"/>
          <w:szCs w:val="18"/>
          <w:lang w:eastAsia="cs-CZ"/>
        </w:rPr>
        <w:t>Maresch</w:t>
      </w:r>
      <w:proofErr w:type="spellEnd"/>
      <w:r w:rsidRPr="00CF50A1">
        <w:rPr>
          <w:rFonts w:ascii="Arial" w:eastAsia="Times New Roman" w:hAnsi="Arial" w:cs="Arial"/>
          <w:b/>
          <w:bCs/>
          <w:color w:val="333333"/>
          <w:sz w:val="18"/>
          <w:szCs w:val="18"/>
          <w:lang w:eastAsia="cs-CZ"/>
        </w:rPr>
        <w:t xml:space="preserve"> </w:t>
      </w:r>
      <w:proofErr w:type="spellStart"/>
      <w:r w:rsidRPr="00CF50A1">
        <w:rPr>
          <w:rFonts w:ascii="Arial" w:eastAsia="Times New Roman" w:hAnsi="Arial" w:cs="Arial"/>
          <w:b/>
          <w:bCs/>
          <w:color w:val="333333"/>
          <w:sz w:val="18"/>
          <w:szCs w:val="18"/>
          <w:lang w:eastAsia="cs-CZ"/>
        </w:rPr>
        <w:t>GmbH</w:t>
      </w:r>
      <w:proofErr w:type="spellEnd"/>
      <w:r w:rsidRPr="00CF50A1">
        <w:rPr>
          <w:rFonts w:ascii="Arial" w:eastAsia="Times New Roman" w:hAnsi="Arial" w:cs="Arial"/>
          <w:b/>
          <w:bCs/>
          <w:color w:val="333333"/>
          <w:sz w:val="18"/>
          <w:szCs w:val="18"/>
          <w:lang w:eastAsia="cs-CZ"/>
        </w:rPr>
        <w:t xml:space="preserve">, </w:t>
      </w:r>
      <w:proofErr w:type="spellStart"/>
      <w:r w:rsidRPr="00CF50A1">
        <w:rPr>
          <w:rFonts w:ascii="Arial" w:eastAsia="Times New Roman" w:hAnsi="Arial" w:cs="Arial"/>
          <w:b/>
          <w:bCs/>
          <w:color w:val="333333"/>
          <w:sz w:val="18"/>
          <w:szCs w:val="18"/>
          <w:lang w:eastAsia="cs-CZ"/>
        </w:rPr>
        <w:t>Breiten</w:t>
      </w:r>
      <w:proofErr w:type="spellEnd"/>
      <w:r w:rsidRPr="00CF50A1">
        <w:rPr>
          <w:rFonts w:ascii="Arial" w:eastAsia="Times New Roman" w:hAnsi="Arial" w:cs="Arial"/>
          <w:b/>
          <w:bCs/>
          <w:color w:val="333333"/>
          <w:sz w:val="18"/>
          <w:szCs w:val="18"/>
          <w:lang w:eastAsia="cs-CZ"/>
        </w:rPr>
        <w:t xml:space="preserve"> 1, 2070 </w:t>
      </w:r>
      <w:proofErr w:type="spellStart"/>
      <w:r w:rsidRPr="00CF50A1">
        <w:rPr>
          <w:rFonts w:ascii="Arial" w:eastAsia="Times New Roman" w:hAnsi="Arial" w:cs="Arial"/>
          <w:b/>
          <w:bCs/>
          <w:color w:val="333333"/>
          <w:sz w:val="18"/>
          <w:szCs w:val="18"/>
          <w:lang w:eastAsia="cs-CZ"/>
        </w:rPr>
        <w:t>Retz</w:t>
      </w:r>
      <w:proofErr w:type="spellEnd"/>
      <w:r w:rsidRPr="00CF50A1">
        <w:rPr>
          <w:rFonts w:ascii="Arial" w:eastAsia="Times New Roman" w:hAnsi="Arial" w:cs="Arial"/>
          <w:b/>
          <w:bCs/>
          <w:color w:val="333333"/>
          <w:sz w:val="18"/>
          <w:szCs w:val="18"/>
          <w:lang w:eastAsia="cs-CZ"/>
        </w:rPr>
        <w:t>, Rakousko (dále též jen „konečný příjemce“):     </w:t>
      </w:r>
    </w:p>
    <w:p w:rsidR="0086772F" w:rsidRPr="008A7418" w:rsidRDefault="008A7418" w:rsidP="0086772F">
      <w:pPr>
        <w:spacing w:after="240" w:line="240" w:lineRule="atLeast"/>
        <w:rPr>
          <w:rFonts w:ascii="Arial" w:eastAsia="Times New Roman" w:hAnsi="Arial" w:cs="Arial"/>
          <w:b/>
          <w:bCs/>
          <w:color w:val="333333"/>
          <w:sz w:val="18"/>
          <w:szCs w:val="18"/>
          <w:lang w:eastAsia="cs-CZ"/>
        </w:rPr>
      </w:pPr>
      <w:r>
        <w:rPr>
          <w:rFonts w:ascii="Arial" w:eastAsia="Times New Roman" w:hAnsi="Arial" w:cs="Arial"/>
          <w:b/>
          <w:bCs/>
          <w:color w:val="333333"/>
          <w:sz w:val="18"/>
          <w:szCs w:val="18"/>
          <w:lang w:eastAsia="cs-CZ"/>
        </w:rPr>
        <w:t xml:space="preserve">       </w:t>
      </w:r>
      <w:r w:rsidR="00817318" w:rsidRPr="00817318">
        <w:rPr>
          <w:rFonts w:ascii="Arial" w:eastAsia="Times New Roman" w:hAnsi="Arial" w:cs="Arial"/>
          <w:b/>
          <w:bCs/>
          <w:noProof/>
          <w:color w:val="333333"/>
          <w:sz w:val="18"/>
          <w:szCs w:val="18"/>
          <w:lang w:eastAsia="cs-CZ"/>
        </w:rPr>
        <w:drawing>
          <wp:inline distT="0" distB="0" distL="0" distR="0" wp14:anchorId="5814AA09" wp14:editId="0EEF24CF">
            <wp:extent cx="6191250" cy="1439194"/>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4205" cy="1446855"/>
                    </a:xfrm>
                    <a:prstGeom prst="rect">
                      <a:avLst/>
                    </a:prstGeom>
                  </pic:spPr>
                </pic:pic>
              </a:graphicData>
            </a:graphic>
          </wp:inline>
        </w:drawing>
      </w:r>
    </w:p>
    <w:p w:rsidR="0086772F" w:rsidRPr="0086772F" w:rsidRDefault="0086772F" w:rsidP="0086772F">
      <w:pPr>
        <w:spacing w:after="240" w:line="240" w:lineRule="atLeast"/>
        <w:rPr>
          <w:rFonts w:ascii="Arial" w:eastAsia="Times New Roman" w:hAnsi="Arial" w:cs="Arial"/>
          <w:bCs/>
          <w:color w:val="333333"/>
          <w:sz w:val="18"/>
          <w:szCs w:val="18"/>
        </w:rPr>
      </w:pPr>
      <w:r>
        <w:rPr>
          <w:rFonts w:ascii="Arial" w:eastAsia="Times New Roman" w:hAnsi="Arial" w:cs="Arial"/>
          <w:bCs/>
          <w:color w:val="333333"/>
          <w:sz w:val="18"/>
          <w:szCs w:val="18"/>
        </w:rPr>
        <w:t xml:space="preserve">       </w:t>
      </w:r>
      <w:r w:rsidRPr="0086772F">
        <w:rPr>
          <w:rFonts w:ascii="Arial" w:eastAsia="Times New Roman" w:hAnsi="Arial" w:cs="Arial"/>
          <w:bCs/>
          <w:color w:val="333333"/>
          <w:sz w:val="18"/>
          <w:szCs w:val="18"/>
        </w:rPr>
        <w:t>Objem dodávek sjednávají strany s přípustnou odchylkou + - 10 % objemu.</w:t>
      </w:r>
    </w:p>
    <w:p w:rsidR="00F342D6" w:rsidRPr="0086772F" w:rsidRDefault="0086772F" w:rsidP="0086772F">
      <w:pPr>
        <w:spacing w:after="240" w:line="240" w:lineRule="atLeast"/>
        <w:ind w:left="360"/>
        <w:jc w:val="both"/>
        <w:rPr>
          <w:rFonts w:ascii="Arial" w:eastAsia="Times New Roman" w:hAnsi="Arial" w:cs="Arial"/>
          <w:bCs/>
          <w:color w:val="333333"/>
          <w:sz w:val="18"/>
          <w:szCs w:val="18"/>
        </w:rPr>
      </w:pPr>
      <w:r w:rsidRPr="0086772F">
        <w:rPr>
          <w:rFonts w:ascii="Arial" w:eastAsia="Times New Roman" w:hAnsi="Arial" w:cs="Arial"/>
          <w:bCs/>
          <w:color w:val="333333"/>
          <w:sz w:val="18"/>
          <w:szCs w:val="18"/>
        </w:rPr>
        <w:t>Smluvní strany se dohodly na možné změně objemu dodávek tak, že kupující je oprávněn určit, že převezme dle své volby v kalendářním měsíci nebo v</w:t>
      </w:r>
      <w:r w:rsidR="004269F9">
        <w:rPr>
          <w:rFonts w:ascii="Arial" w:eastAsia="Times New Roman" w:hAnsi="Arial" w:cs="Arial"/>
          <w:bCs/>
          <w:color w:val="333333"/>
          <w:sz w:val="18"/>
          <w:szCs w:val="18"/>
        </w:rPr>
        <w:t>e</w:t>
      </w:r>
      <w:r w:rsidRPr="0086772F">
        <w:rPr>
          <w:rFonts w:ascii="Arial" w:eastAsia="Times New Roman" w:hAnsi="Arial" w:cs="Arial"/>
          <w:bCs/>
          <w:color w:val="333333"/>
          <w:sz w:val="18"/>
          <w:szCs w:val="18"/>
        </w:rPr>
        <w:t xml:space="preserve"> čtvrtletí 90 % objemu, a to písemným oznámením prodávajícímu minimálně 48 hodin před nabytím účinnosti takového určení změny objemu (účinnost oznámení). Objem dodávky nad rámec takového určení je kupující oprávněn odmítnout převzít.</w:t>
      </w:r>
    </w:p>
    <w:p w:rsidR="00CF50A1" w:rsidRPr="00CF50A1" w:rsidRDefault="00CF50A1" w:rsidP="006C0CC1">
      <w:pPr>
        <w:numPr>
          <w:ilvl w:val="0"/>
          <w:numId w:val="1"/>
        </w:numPr>
        <w:spacing w:after="24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8"/>
          <w:szCs w:val="18"/>
          <w:lang w:eastAsia="cs-CZ"/>
        </w:rPr>
        <w:t>Země původu: CZ Lokalita  .....................       </w:t>
      </w:r>
    </w:p>
    <w:p w:rsidR="00CF50A1" w:rsidRPr="00CF50A1" w:rsidRDefault="00CF50A1" w:rsidP="006C0CC1">
      <w:pPr>
        <w:numPr>
          <w:ilvl w:val="0"/>
          <w:numId w:val="1"/>
        </w:numPr>
        <w:spacing w:after="24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8"/>
          <w:szCs w:val="18"/>
          <w:lang w:eastAsia="cs-CZ"/>
        </w:rPr>
        <w:t>Platnost smlouvy/čas plnění: </w:t>
      </w:r>
      <w:r w:rsidR="007B7E21">
        <w:rPr>
          <w:rFonts w:ascii="Arial" w:eastAsia="Times New Roman" w:hAnsi="Arial" w:cs="Arial"/>
          <w:b/>
          <w:color w:val="333333"/>
          <w:sz w:val="18"/>
          <w:szCs w:val="18"/>
          <w:lang w:eastAsia="cs-CZ"/>
        </w:rPr>
        <w:t>1.01</w:t>
      </w:r>
      <w:r w:rsidR="00532F58">
        <w:rPr>
          <w:rFonts w:ascii="Arial" w:eastAsia="Times New Roman" w:hAnsi="Arial" w:cs="Arial"/>
          <w:b/>
          <w:color w:val="333333"/>
          <w:sz w:val="18"/>
          <w:szCs w:val="18"/>
          <w:lang w:eastAsia="cs-CZ"/>
        </w:rPr>
        <w:t>.2</w:t>
      </w:r>
      <w:r w:rsidR="00CC247F">
        <w:rPr>
          <w:rFonts w:ascii="Arial" w:eastAsia="Times New Roman" w:hAnsi="Arial" w:cs="Arial"/>
          <w:b/>
          <w:color w:val="333333"/>
          <w:sz w:val="18"/>
          <w:szCs w:val="18"/>
          <w:lang w:eastAsia="cs-CZ"/>
        </w:rPr>
        <w:t>025 - 31.03.2025/1.01.2025</w:t>
      </w:r>
      <w:r w:rsidR="00487F04">
        <w:rPr>
          <w:rFonts w:ascii="Arial" w:eastAsia="Times New Roman" w:hAnsi="Arial" w:cs="Arial"/>
          <w:b/>
          <w:color w:val="333333"/>
          <w:sz w:val="18"/>
          <w:szCs w:val="18"/>
          <w:lang w:eastAsia="cs-CZ"/>
        </w:rPr>
        <w:t xml:space="preserve"> - 31</w:t>
      </w:r>
      <w:r w:rsidR="00B44073">
        <w:rPr>
          <w:rFonts w:ascii="Arial" w:eastAsia="Times New Roman" w:hAnsi="Arial" w:cs="Arial"/>
          <w:b/>
          <w:color w:val="333333"/>
          <w:sz w:val="18"/>
          <w:szCs w:val="18"/>
          <w:lang w:eastAsia="cs-CZ"/>
        </w:rPr>
        <w:t>.</w:t>
      </w:r>
      <w:r w:rsidR="007B7E21">
        <w:rPr>
          <w:rFonts w:ascii="Arial" w:eastAsia="Times New Roman" w:hAnsi="Arial" w:cs="Arial"/>
          <w:b/>
          <w:color w:val="333333"/>
          <w:sz w:val="18"/>
          <w:szCs w:val="18"/>
          <w:lang w:eastAsia="cs-CZ"/>
        </w:rPr>
        <w:t>03.2025</w:t>
      </w:r>
    </w:p>
    <w:p w:rsidR="00CF50A1" w:rsidRPr="00CF50A1" w:rsidRDefault="00CF50A1" w:rsidP="006C0CC1">
      <w:pPr>
        <w:numPr>
          <w:ilvl w:val="0"/>
          <w:numId w:val="1"/>
        </w:numPr>
        <w:spacing w:after="24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8"/>
          <w:szCs w:val="18"/>
          <w:lang w:eastAsia="cs-CZ"/>
        </w:rPr>
        <w:t>Pravidelnost dodávek: </w:t>
      </w:r>
      <w:r w:rsidRPr="00CF50A1">
        <w:rPr>
          <w:rFonts w:ascii="Arial" w:eastAsia="Times New Roman" w:hAnsi="Arial" w:cs="Arial"/>
          <w:color w:val="333333"/>
          <w:sz w:val="18"/>
          <w:szCs w:val="18"/>
          <w:lang w:eastAsia="cs-CZ"/>
        </w:rPr>
        <w:t xml:space="preserve">Prodávající se zavazuje k časově rovnoměrnému plnění množství na této smlouvě uvedeného, od začátku do konce času plnění. V opačném případě může být toto množství </w:t>
      </w:r>
      <w:proofErr w:type="spellStart"/>
      <w:r w:rsidRPr="00CF50A1">
        <w:rPr>
          <w:rFonts w:ascii="Arial" w:eastAsia="Times New Roman" w:hAnsi="Arial" w:cs="Arial"/>
          <w:color w:val="333333"/>
          <w:sz w:val="18"/>
          <w:szCs w:val="18"/>
          <w:lang w:eastAsia="cs-CZ"/>
        </w:rPr>
        <w:t>alikvótně</w:t>
      </w:r>
      <w:proofErr w:type="spellEnd"/>
      <w:r w:rsidRPr="00CF50A1">
        <w:rPr>
          <w:rFonts w:ascii="Arial" w:eastAsia="Times New Roman" w:hAnsi="Arial" w:cs="Arial"/>
          <w:color w:val="333333"/>
          <w:sz w:val="18"/>
          <w:szCs w:val="18"/>
          <w:lang w:eastAsia="cs-CZ"/>
        </w:rPr>
        <w:t xml:space="preserve"> pokráceno.</w:t>
      </w:r>
    </w:p>
    <w:p w:rsidR="00A9628D" w:rsidRPr="00030920" w:rsidRDefault="00CF50A1" w:rsidP="008A7418">
      <w:pPr>
        <w:numPr>
          <w:ilvl w:val="0"/>
          <w:numId w:val="1"/>
        </w:numPr>
        <w:spacing w:after="240" w:line="240" w:lineRule="atLeast"/>
        <w:ind w:left="300"/>
        <w:jc w:val="both"/>
        <w:rPr>
          <w:rFonts w:ascii="Arial" w:eastAsia="Times New Roman" w:hAnsi="Arial" w:cs="Arial"/>
          <w:color w:val="000000" w:themeColor="text1"/>
          <w:sz w:val="20"/>
          <w:szCs w:val="20"/>
          <w:lang w:eastAsia="cs-CZ"/>
        </w:rPr>
      </w:pPr>
      <w:r w:rsidRPr="00CF50A1">
        <w:rPr>
          <w:rFonts w:ascii="Arial" w:eastAsia="Times New Roman" w:hAnsi="Arial" w:cs="Arial"/>
          <w:b/>
          <w:bCs/>
          <w:color w:val="333333"/>
          <w:sz w:val="18"/>
          <w:szCs w:val="18"/>
          <w:lang w:eastAsia="cs-CZ"/>
        </w:rPr>
        <w:t>Kupní ceny bez DPH stanove</w:t>
      </w:r>
      <w:r w:rsidR="00985974">
        <w:rPr>
          <w:rFonts w:ascii="Arial" w:eastAsia="Times New Roman" w:hAnsi="Arial" w:cs="Arial"/>
          <w:b/>
          <w:bCs/>
          <w:color w:val="333333"/>
          <w:sz w:val="18"/>
          <w:szCs w:val="18"/>
          <w:lang w:eastAsia="cs-CZ"/>
        </w:rPr>
        <w:t xml:space="preserve">ny na OM jsou platné pro období: </w:t>
      </w:r>
      <w:r w:rsidR="007B7E21">
        <w:rPr>
          <w:rFonts w:ascii="Arial" w:hAnsi="Arial" w:cs="Arial"/>
          <w:color w:val="333333"/>
          <w:sz w:val="18"/>
          <w:szCs w:val="18"/>
        </w:rPr>
        <w:t>1. 1. 2025</w:t>
      </w:r>
      <w:r w:rsidR="00597B2B">
        <w:rPr>
          <w:rFonts w:ascii="Arial" w:hAnsi="Arial" w:cs="Arial"/>
          <w:color w:val="333333"/>
          <w:sz w:val="18"/>
          <w:szCs w:val="18"/>
        </w:rPr>
        <w:t xml:space="preserve"> – </w:t>
      </w:r>
      <w:r w:rsidR="007B7E21">
        <w:rPr>
          <w:rFonts w:ascii="Arial" w:hAnsi="Arial" w:cs="Arial"/>
          <w:color w:val="333333"/>
          <w:sz w:val="18"/>
          <w:szCs w:val="18"/>
        </w:rPr>
        <w:t>31. 3</w:t>
      </w:r>
      <w:r w:rsidR="006F35E4">
        <w:rPr>
          <w:rFonts w:ascii="Arial" w:hAnsi="Arial" w:cs="Arial"/>
          <w:color w:val="333333"/>
          <w:sz w:val="18"/>
          <w:szCs w:val="18"/>
        </w:rPr>
        <w:t>.</w:t>
      </w:r>
      <w:r w:rsidR="007B7E21">
        <w:rPr>
          <w:rFonts w:ascii="Arial" w:hAnsi="Arial" w:cs="Arial"/>
          <w:color w:val="333333"/>
          <w:sz w:val="18"/>
          <w:szCs w:val="18"/>
        </w:rPr>
        <w:t xml:space="preserve"> 2025</w:t>
      </w:r>
      <w:r w:rsidR="00030920">
        <w:rPr>
          <w:rFonts w:ascii="Arial" w:hAnsi="Arial" w:cs="Arial"/>
          <w:color w:val="333333"/>
          <w:sz w:val="18"/>
          <w:szCs w:val="18"/>
        </w:rPr>
        <w:t xml:space="preserve"> </w:t>
      </w:r>
    </w:p>
    <w:p w:rsidR="00030920" w:rsidRDefault="00030920" w:rsidP="00030920">
      <w:pPr>
        <w:pStyle w:val="Default"/>
        <w:rPr>
          <w:color w:val="323232"/>
          <w:sz w:val="18"/>
          <w:szCs w:val="18"/>
        </w:rPr>
      </w:pPr>
      <w:r w:rsidRPr="00030920">
        <w:rPr>
          <w:sz w:val="18"/>
          <w:szCs w:val="18"/>
        </w:rPr>
        <w:t xml:space="preserve"> </w:t>
      </w:r>
      <w:r w:rsidR="007A0568">
        <w:rPr>
          <w:sz w:val="18"/>
          <w:szCs w:val="18"/>
        </w:rPr>
        <w:t xml:space="preserve"> </w:t>
      </w:r>
      <w:r w:rsidRPr="00030920">
        <w:rPr>
          <w:sz w:val="18"/>
          <w:szCs w:val="18"/>
        </w:rPr>
        <w:t xml:space="preserve">   </w:t>
      </w:r>
      <w:r w:rsidRPr="00030920">
        <w:rPr>
          <w:color w:val="323232"/>
          <w:sz w:val="18"/>
          <w:szCs w:val="18"/>
        </w:rPr>
        <w:t>Smluvní strany se dohodly, že kupní cena může být v jednotlivých kalendářních měsících trvání smlouvy variabilní.</w:t>
      </w:r>
    </w:p>
    <w:p w:rsidR="00030920" w:rsidRPr="00030920" w:rsidRDefault="00030920" w:rsidP="00030920">
      <w:pPr>
        <w:pStyle w:val="Default"/>
      </w:pPr>
    </w:p>
    <w:p w:rsidR="00A9628D" w:rsidRDefault="00014DC2" w:rsidP="006C0CC1">
      <w:pPr>
        <w:spacing w:after="0" w:line="240" w:lineRule="auto"/>
        <w:rPr>
          <w:noProof/>
          <w:lang w:eastAsia="cs-CZ"/>
        </w:rPr>
      </w:pPr>
      <w:r>
        <w:rPr>
          <w:rFonts w:ascii="Arial" w:eastAsia="Times New Roman" w:hAnsi="Arial" w:cs="Arial"/>
          <w:color w:val="333333"/>
          <w:sz w:val="20"/>
          <w:szCs w:val="20"/>
          <w:shd w:val="clear" w:color="auto" w:fill="FFFFFF"/>
          <w:lang w:eastAsia="cs-CZ"/>
        </w:rPr>
        <w:t xml:space="preserve">   </w:t>
      </w:r>
      <w:r w:rsidR="00F342D6">
        <w:rPr>
          <w:rFonts w:ascii="Arial" w:eastAsia="Times New Roman" w:hAnsi="Arial" w:cs="Arial"/>
          <w:color w:val="333333"/>
          <w:sz w:val="20"/>
          <w:szCs w:val="20"/>
          <w:shd w:val="clear" w:color="auto" w:fill="FFFFFF"/>
          <w:lang w:eastAsia="cs-CZ"/>
        </w:rPr>
        <w:t xml:space="preserve"> </w:t>
      </w:r>
      <w:r>
        <w:rPr>
          <w:rFonts w:ascii="Arial" w:eastAsia="Times New Roman" w:hAnsi="Arial" w:cs="Arial"/>
          <w:color w:val="333333"/>
          <w:sz w:val="20"/>
          <w:szCs w:val="20"/>
          <w:shd w:val="clear" w:color="auto" w:fill="FFFFFF"/>
          <w:lang w:eastAsia="cs-CZ"/>
        </w:rPr>
        <w:t xml:space="preserve"> </w:t>
      </w:r>
      <w:r w:rsidR="00CF50A1" w:rsidRPr="00CF50A1">
        <w:rPr>
          <w:rFonts w:ascii="Arial" w:eastAsia="Times New Roman" w:hAnsi="Arial" w:cs="Arial"/>
          <w:color w:val="333333"/>
          <w:sz w:val="20"/>
          <w:szCs w:val="20"/>
          <w:shd w:val="clear" w:color="auto" w:fill="FFFFFF"/>
          <w:lang w:eastAsia="cs-CZ"/>
        </w:rPr>
        <w:t> </w:t>
      </w:r>
      <w:r w:rsidR="001E3F86">
        <w:rPr>
          <w:noProof/>
          <w:lang w:eastAsia="cs-CZ"/>
        </w:rPr>
        <w:drawing>
          <wp:inline distT="0" distB="0" distL="0" distR="0" wp14:anchorId="69FB35C1" wp14:editId="3B1FEF5D">
            <wp:extent cx="6071191" cy="1635265"/>
            <wp:effectExtent l="0" t="0" r="635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1265" cy="1643365"/>
                    </a:xfrm>
                    <a:prstGeom prst="rect">
                      <a:avLst/>
                    </a:prstGeom>
                  </pic:spPr>
                </pic:pic>
              </a:graphicData>
            </a:graphic>
          </wp:inline>
        </w:drawing>
      </w:r>
      <w:r w:rsidR="00C3062B">
        <w:rPr>
          <w:noProof/>
          <w:lang w:eastAsia="cs-CZ"/>
        </w:rPr>
        <w:t xml:space="preserve">  </w:t>
      </w:r>
    </w:p>
    <w:p w:rsidR="00FC10C3" w:rsidRDefault="0090202B" w:rsidP="00BC6335">
      <w:pPr>
        <w:spacing w:after="0" w:line="240" w:lineRule="auto"/>
        <w:rPr>
          <w:noProof/>
          <w:lang w:eastAsia="cs-CZ"/>
        </w:rPr>
      </w:pPr>
      <w:r>
        <w:rPr>
          <w:noProof/>
          <w:lang w:eastAsia="cs-CZ"/>
        </w:rPr>
        <w:t xml:space="preserve">         </w:t>
      </w:r>
      <w:r w:rsidR="0017091C">
        <w:rPr>
          <w:noProof/>
          <w:lang w:eastAsia="cs-CZ"/>
        </w:rPr>
        <w:t xml:space="preserve"> </w:t>
      </w:r>
    </w:p>
    <w:p w:rsidR="00141F09" w:rsidRDefault="00DE5477" w:rsidP="00BC6335">
      <w:pPr>
        <w:spacing w:after="0" w:line="240" w:lineRule="auto"/>
        <w:rPr>
          <w:noProof/>
          <w:lang w:eastAsia="cs-CZ"/>
        </w:rPr>
      </w:pPr>
      <w:r>
        <w:rPr>
          <w:noProof/>
          <w:lang w:eastAsia="cs-CZ"/>
        </w:rPr>
        <w:t xml:space="preserve"> </w:t>
      </w:r>
      <w:r w:rsidR="001E3F86">
        <w:rPr>
          <w:noProof/>
          <w:lang w:eastAsia="cs-CZ"/>
        </w:rPr>
        <w:t xml:space="preserve"> </w:t>
      </w:r>
    </w:p>
    <w:p w:rsidR="00141F09" w:rsidRDefault="005B6A8B" w:rsidP="005B6A8B">
      <w:pPr>
        <w:spacing w:after="0" w:line="240" w:lineRule="auto"/>
        <w:rPr>
          <w:rFonts w:ascii="Arial" w:eastAsia="Times New Roman" w:hAnsi="Arial" w:cs="Arial"/>
          <w:color w:val="333333"/>
          <w:sz w:val="20"/>
          <w:szCs w:val="20"/>
          <w:shd w:val="clear" w:color="auto" w:fill="FFFFFF"/>
          <w:lang w:eastAsia="cs-CZ"/>
        </w:rPr>
      </w:pPr>
      <w:r>
        <w:rPr>
          <w:rFonts w:ascii="Arial" w:eastAsia="Times New Roman" w:hAnsi="Arial" w:cs="Arial"/>
          <w:color w:val="333333"/>
          <w:sz w:val="20"/>
          <w:szCs w:val="20"/>
          <w:shd w:val="clear" w:color="auto" w:fill="FFFFFF"/>
          <w:lang w:eastAsia="cs-CZ"/>
        </w:rPr>
        <w:lastRenderedPageBreak/>
        <w:t xml:space="preserve">        </w:t>
      </w:r>
      <w:r w:rsidR="001E3F86">
        <w:rPr>
          <w:noProof/>
          <w:lang w:eastAsia="cs-CZ"/>
        </w:rPr>
        <w:drawing>
          <wp:inline distT="0" distB="0" distL="0" distR="0" wp14:anchorId="6CB8EB0E" wp14:editId="5C24B691">
            <wp:extent cx="6220047" cy="1612363"/>
            <wp:effectExtent l="0" t="0" r="0" b="698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39456" cy="1617394"/>
                    </a:xfrm>
                    <a:prstGeom prst="rect">
                      <a:avLst/>
                    </a:prstGeom>
                  </pic:spPr>
                </pic:pic>
              </a:graphicData>
            </a:graphic>
          </wp:inline>
        </w:drawing>
      </w:r>
    </w:p>
    <w:p w:rsidR="00CC33DF" w:rsidRDefault="00CC33DF" w:rsidP="005B6A8B">
      <w:pPr>
        <w:spacing w:after="0" w:line="240" w:lineRule="auto"/>
        <w:rPr>
          <w:rFonts w:ascii="Arial" w:eastAsia="Times New Roman" w:hAnsi="Arial" w:cs="Arial"/>
          <w:color w:val="333333"/>
          <w:sz w:val="20"/>
          <w:szCs w:val="20"/>
          <w:shd w:val="clear" w:color="auto" w:fill="FFFFFF"/>
          <w:lang w:eastAsia="cs-CZ"/>
        </w:rPr>
      </w:pPr>
      <w:r>
        <w:rPr>
          <w:rFonts w:ascii="Arial" w:eastAsia="Times New Roman" w:hAnsi="Arial" w:cs="Arial"/>
          <w:color w:val="333333"/>
          <w:sz w:val="20"/>
          <w:szCs w:val="20"/>
          <w:shd w:val="clear" w:color="auto" w:fill="FFFFFF"/>
          <w:lang w:eastAsia="cs-CZ"/>
        </w:rPr>
        <w:t xml:space="preserve">         </w:t>
      </w:r>
    </w:p>
    <w:p w:rsidR="00CC33DF" w:rsidRDefault="00CC33DF" w:rsidP="005B6A8B">
      <w:pPr>
        <w:spacing w:after="0" w:line="240" w:lineRule="auto"/>
        <w:rPr>
          <w:rFonts w:ascii="Arial" w:eastAsia="Times New Roman" w:hAnsi="Arial" w:cs="Arial"/>
          <w:color w:val="333333"/>
          <w:sz w:val="20"/>
          <w:szCs w:val="20"/>
          <w:shd w:val="clear" w:color="auto" w:fill="FFFFFF"/>
          <w:lang w:eastAsia="cs-CZ"/>
        </w:rPr>
      </w:pPr>
    </w:p>
    <w:p w:rsidR="00CC33DF" w:rsidRDefault="00CC33DF" w:rsidP="005B6A8B">
      <w:pPr>
        <w:spacing w:after="0" w:line="240" w:lineRule="auto"/>
        <w:rPr>
          <w:rFonts w:ascii="Arial" w:eastAsia="Times New Roman" w:hAnsi="Arial" w:cs="Arial"/>
          <w:color w:val="333333"/>
          <w:sz w:val="20"/>
          <w:szCs w:val="20"/>
          <w:shd w:val="clear" w:color="auto" w:fill="FFFFFF"/>
          <w:lang w:eastAsia="cs-CZ"/>
        </w:rPr>
      </w:pPr>
    </w:p>
    <w:p w:rsidR="00FC10C3" w:rsidRDefault="0090202B" w:rsidP="00BC6335">
      <w:pPr>
        <w:spacing w:after="0" w:line="240" w:lineRule="auto"/>
        <w:rPr>
          <w:rFonts w:ascii="Arial" w:eastAsia="Times New Roman" w:hAnsi="Arial" w:cs="Arial"/>
          <w:color w:val="333333"/>
          <w:sz w:val="20"/>
          <w:szCs w:val="20"/>
          <w:shd w:val="clear" w:color="auto" w:fill="FFFFFF"/>
          <w:lang w:eastAsia="cs-CZ"/>
        </w:rPr>
      </w:pPr>
      <w:r>
        <w:rPr>
          <w:rFonts w:ascii="Arial" w:eastAsia="Times New Roman" w:hAnsi="Arial" w:cs="Arial"/>
          <w:color w:val="333333"/>
          <w:sz w:val="20"/>
          <w:szCs w:val="20"/>
          <w:shd w:val="clear" w:color="auto" w:fill="FFFFFF"/>
          <w:lang w:eastAsia="cs-CZ"/>
        </w:rPr>
        <w:t xml:space="preserve">  </w:t>
      </w:r>
      <w:r w:rsidR="00AD7E93">
        <w:rPr>
          <w:rFonts w:ascii="Arial" w:eastAsia="Times New Roman" w:hAnsi="Arial" w:cs="Arial"/>
          <w:color w:val="333333"/>
          <w:sz w:val="20"/>
          <w:szCs w:val="20"/>
          <w:shd w:val="clear" w:color="auto" w:fill="FFFFFF"/>
          <w:lang w:eastAsia="cs-CZ"/>
        </w:rPr>
        <w:t xml:space="preserve">    </w:t>
      </w:r>
      <w:r w:rsidR="00AD7E93">
        <w:rPr>
          <w:noProof/>
          <w:lang w:eastAsia="cs-CZ"/>
        </w:rPr>
        <w:t xml:space="preserve">  </w:t>
      </w:r>
    </w:p>
    <w:p w:rsidR="00A9628D" w:rsidRPr="007D0EE9" w:rsidRDefault="008A7418" w:rsidP="006C0CC1">
      <w:pPr>
        <w:spacing w:after="0" w:line="240" w:lineRule="auto"/>
        <w:rPr>
          <w:rFonts w:ascii="Arial" w:eastAsia="Times New Roman" w:hAnsi="Arial" w:cs="Arial"/>
          <w:color w:val="333333"/>
          <w:sz w:val="20"/>
          <w:szCs w:val="20"/>
          <w:shd w:val="clear" w:color="auto" w:fill="FFFFFF"/>
          <w:lang w:eastAsia="cs-CZ"/>
        </w:rPr>
      </w:pPr>
      <w:r>
        <w:rPr>
          <w:rFonts w:ascii="Arial" w:eastAsia="Times New Roman" w:hAnsi="Arial" w:cs="Arial"/>
          <w:color w:val="333333"/>
          <w:sz w:val="20"/>
          <w:szCs w:val="20"/>
          <w:shd w:val="clear" w:color="auto" w:fill="FFFFFF"/>
          <w:lang w:eastAsia="cs-CZ"/>
        </w:rPr>
        <w:t xml:space="preserve">       </w:t>
      </w:r>
      <w:r w:rsidR="00014DC2">
        <w:rPr>
          <w:rFonts w:ascii="Arial" w:eastAsia="Times New Roman" w:hAnsi="Arial" w:cs="Arial"/>
          <w:color w:val="333333"/>
          <w:sz w:val="20"/>
          <w:szCs w:val="20"/>
          <w:shd w:val="clear" w:color="auto" w:fill="FFFFFF"/>
          <w:lang w:eastAsia="cs-CZ"/>
        </w:rPr>
        <w:t xml:space="preserve">  </w:t>
      </w:r>
      <w:r w:rsidR="007D0EE9">
        <w:rPr>
          <w:rFonts w:ascii="Arial" w:eastAsia="Times New Roman" w:hAnsi="Arial" w:cs="Arial"/>
          <w:color w:val="333333"/>
          <w:sz w:val="20"/>
          <w:szCs w:val="20"/>
          <w:shd w:val="clear" w:color="auto" w:fill="FFFFFF"/>
          <w:lang w:eastAsia="cs-CZ"/>
        </w:rPr>
        <w:t> </w:t>
      </w:r>
    </w:p>
    <w:p w:rsidR="00CF50A1" w:rsidRPr="00A9628D" w:rsidRDefault="007B7E21" w:rsidP="006C0CC1">
      <w:pPr>
        <w:spacing w:after="0" w:line="240" w:lineRule="auto"/>
        <w:rPr>
          <w:rFonts w:ascii="Arial" w:eastAsia="Times New Roman" w:hAnsi="Arial" w:cs="Arial"/>
          <w:color w:val="333333"/>
          <w:sz w:val="20"/>
          <w:szCs w:val="20"/>
          <w:shd w:val="clear" w:color="auto" w:fill="FFFFFF"/>
          <w:lang w:eastAsia="cs-CZ"/>
        </w:rPr>
      </w:pPr>
      <w:r>
        <w:rPr>
          <w:rFonts w:ascii="Arial" w:eastAsia="Times New Roman" w:hAnsi="Arial" w:cs="Arial"/>
          <w:b/>
          <w:bCs/>
          <w:color w:val="333333"/>
          <w:sz w:val="14"/>
          <w:szCs w:val="14"/>
          <w:lang w:eastAsia="cs-CZ"/>
        </w:rPr>
        <w:t>Splatnost faktur je  10</w:t>
      </w:r>
      <w:r w:rsidR="00CF50A1" w:rsidRPr="00CF50A1">
        <w:rPr>
          <w:rFonts w:ascii="Arial" w:eastAsia="Times New Roman" w:hAnsi="Arial" w:cs="Arial"/>
          <w:b/>
          <w:bCs/>
          <w:color w:val="333333"/>
          <w:sz w:val="14"/>
          <w:szCs w:val="14"/>
          <w:lang w:eastAsia="cs-CZ"/>
        </w:rPr>
        <w:t xml:space="preserve"> dní od data vystavení faktury.  Prodávající výslovně prohlašuje, že toto ujednání o čase plnění nepovažuje za hrubě nespravedlivé. /</w:t>
      </w:r>
      <w:proofErr w:type="spellStart"/>
      <w:r w:rsidR="00CF50A1" w:rsidRPr="00CF50A1">
        <w:rPr>
          <w:rFonts w:ascii="Arial" w:eastAsia="Times New Roman" w:hAnsi="Arial" w:cs="Arial"/>
          <w:b/>
          <w:bCs/>
          <w:i/>
          <w:iCs/>
          <w:color w:val="333333"/>
          <w:sz w:val="14"/>
          <w:szCs w:val="14"/>
          <w:lang w:eastAsia="cs-CZ"/>
        </w:rPr>
        <w:t>Fälligkeit</w:t>
      </w:r>
      <w:proofErr w:type="spellEnd"/>
      <w:r w:rsidR="00CF50A1" w:rsidRPr="00CF50A1">
        <w:rPr>
          <w:rFonts w:ascii="Arial" w:eastAsia="Times New Roman" w:hAnsi="Arial" w:cs="Arial"/>
          <w:b/>
          <w:bCs/>
          <w:i/>
          <w:iCs/>
          <w:color w:val="333333"/>
          <w:sz w:val="14"/>
          <w:szCs w:val="14"/>
          <w:lang w:eastAsia="cs-CZ"/>
        </w:rPr>
        <w:t xml:space="preserve"> </w:t>
      </w:r>
      <w:proofErr w:type="spellStart"/>
      <w:r>
        <w:rPr>
          <w:rFonts w:ascii="Arial" w:eastAsia="Times New Roman" w:hAnsi="Arial" w:cs="Arial"/>
          <w:b/>
          <w:bCs/>
          <w:i/>
          <w:iCs/>
          <w:color w:val="333333"/>
          <w:sz w:val="14"/>
          <w:szCs w:val="14"/>
          <w:lang w:eastAsia="cs-CZ"/>
        </w:rPr>
        <w:t>ist</w:t>
      </w:r>
      <w:proofErr w:type="spellEnd"/>
      <w:r>
        <w:rPr>
          <w:rFonts w:ascii="Arial" w:eastAsia="Times New Roman" w:hAnsi="Arial" w:cs="Arial"/>
          <w:b/>
          <w:bCs/>
          <w:i/>
          <w:iCs/>
          <w:color w:val="333333"/>
          <w:sz w:val="14"/>
          <w:szCs w:val="14"/>
          <w:lang w:eastAsia="cs-CZ"/>
        </w:rPr>
        <w:t xml:space="preserve"> 10</w:t>
      </w:r>
      <w:r w:rsidR="00CF50A1" w:rsidRPr="00CF50A1">
        <w:rPr>
          <w:rFonts w:ascii="Arial" w:eastAsia="Times New Roman" w:hAnsi="Arial" w:cs="Arial"/>
          <w:b/>
          <w:bCs/>
          <w:i/>
          <w:iCs/>
          <w:color w:val="333333"/>
          <w:sz w:val="14"/>
          <w:szCs w:val="14"/>
          <w:lang w:eastAsia="cs-CZ"/>
        </w:rPr>
        <w:t xml:space="preserve"> Tage netto ab </w:t>
      </w:r>
      <w:proofErr w:type="spellStart"/>
      <w:r w:rsidR="00CF50A1" w:rsidRPr="00CF50A1">
        <w:rPr>
          <w:rFonts w:ascii="Arial" w:eastAsia="Times New Roman" w:hAnsi="Arial" w:cs="Arial"/>
          <w:b/>
          <w:bCs/>
          <w:i/>
          <w:iCs/>
          <w:color w:val="333333"/>
          <w:sz w:val="14"/>
          <w:szCs w:val="14"/>
          <w:lang w:eastAsia="cs-CZ"/>
        </w:rPr>
        <w:t>Rechnungsdatum</w:t>
      </w:r>
      <w:proofErr w:type="spellEnd"/>
      <w:r w:rsidR="00CF50A1" w:rsidRPr="00CF50A1">
        <w:rPr>
          <w:rFonts w:ascii="Arial" w:eastAsia="Times New Roman" w:hAnsi="Arial" w:cs="Arial"/>
          <w:b/>
          <w:bCs/>
          <w:i/>
          <w:iCs/>
          <w:color w:val="333333"/>
          <w:sz w:val="14"/>
          <w:szCs w:val="14"/>
          <w:lang w:eastAsia="cs-CZ"/>
        </w:rPr>
        <w:t>./</w:t>
      </w:r>
      <w:r w:rsidR="00CF50A1" w:rsidRPr="00CF50A1">
        <w:rPr>
          <w:rFonts w:ascii="Arial" w:eastAsia="Times New Roman" w:hAnsi="Arial" w:cs="Arial"/>
          <w:b/>
          <w:bCs/>
          <w:i/>
          <w:iCs/>
          <w:color w:val="333333"/>
          <w:sz w:val="14"/>
          <w:szCs w:val="14"/>
          <w:lang w:eastAsia="cs-CZ"/>
        </w:rPr>
        <w:br/>
      </w:r>
      <w:r w:rsidR="00CF50A1" w:rsidRPr="00CF50A1">
        <w:rPr>
          <w:rFonts w:ascii="Arial" w:eastAsia="Times New Roman" w:hAnsi="Arial" w:cs="Arial"/>
          <w:b/>
          <w:bCs/>
          <w:i/>
          <w:iCs/>
          <w:color w:val="333333"/>
          <w:sz w:val="14"/>
          <w:szCs w:val="14"/>
          <w:lang w:eastAsia="cs-CZ"/>
        </w:rPr>
        <w:br/>
        <w:t xml:space="preserve">Cena za službu vagónování, vyplacena subjektu provádějící vagónování, je stanovena v případě jednotlivých vagónů 160,- Kč/m3, v případě ucelených vlaků 160,- Kč/m3 (fakturace dle elektronické přejímky závod </w:t>
      </w:r>
      <w:proofErr w:type="spellStart"/>
      <w:r w:rsidR="00CF50A1" w:rsidRPr="00CF50A1">
        <w:rPr>
          <w:rFonts w:ascii="Arial" w:eastAsia="Times New Roman" w:hAnsi="Arial" w:cs="Arial"/>
          <w:b/>
          <w:bCs/>
          <w:i/>
          <w:iCs/>
          <w:color w:val="333333"/>
          <w:sz w:val="14"/>
          <w:szCs w:val="14"/>
          <w:lang w:eastAsia="cs-CZ"/>
        </w:rPr>
        <w:t>Retz</w:t>
      </w:r>
      <w:proofErr w:type="spellEnd"/>
      <w:r w:rsidR="00CF50A1" w:rsidRPr="00CF50A1">
        <w:rPr>
          <w:rFonts w:ascii="Arial" w:eastAsia="Times New Roman" w:hAnsi="Arial" w:cs="Arial"/>
          <w:b/>
          <w:bCs/>
          <w:i/>
          <w:iCs/>
          <w:color w:val="333333"/>
          <w:sz w:val="14"/>
          <w:szCs w:val="14"/>
          <w:lang w:eastAsia="cs-CZ"/>
        </w:rPr>
        <w:t>). /</w:t>
      </w:r>
      <w:proofErr w:type="spellStart"/>
      <w:r w:rsidR="00CF50A1" w:rsidRPr="00CF50A1">
        <w:rPr>
          <w:rFonts w:ascii="Arial" w:eastAsia="Times New Roman" w:hAnsi="Arial" w:cs="Arial"/>
          <w:b/>
          <w:bCs/>
          <w:i/>
          <w:iCs/>
          <w:color w:val="333333"/>
          <w:sz w:val="14"/>
          <w:szCs w:val="14"/>
          <w:lang w:eastAsia="cs-CZ"/>
        </w:rPr>
        <w:t>Verladezuschlag</w:t>
      </w:r>
      <w:proofErr w:type="spellEnd"/>
      <w:r w:rsidR="00CF50A1" w:rsidRPr="00CF50A1">
        <w:rPr>
          <w:rFonts w:ascii="Arial" w:eastAsia="Times New Roman" w:hAnsi="Arial" w:cs="Arial"/>
          <w:b/>
          <w:bCs/>
          <w:i/>
          <w:iCs/>
          <w:color w:val="333333"/>
          <w:sz w:val="14"/>
          <w:szCs w:val="14"/>
          <w:lang w:eastAsia="cs-CZ"/>
        </w:rPr>
        <w:t xml:space="preserve"> </w:t>
      </w:r>
      <w:proofErr w:type="spellStart"/>
      <w:r w:rsidR="00CF50A1" w:rsidRPr="00CF50A1">
        <w:rPr>
          <w:rFonts w:ascii="Arial" w:eastAsia="Times New Roman" w:hAnsi="Arial" w:cs="Arial"/>
          <w:b/>
          <w:bCs/>
          <w:i/>
          <w:iCs/>
          <w:color w:val="333333"/>
          <w:sz w:val="14"/>
          <w:szCs w:val="14"/>
          <w:lang w:eastAsia="cs-CZ"/>
        </w:rPr>
        <w:t>wird</w:t>
      </w:r>
      <w:proofErr w:type="spellEnd"/>
      <w:r w:rsidR="00CF50A1" w:rsidRPr="00CF50A1">
        <w:rPr>
          <w:rFonts w:ascii="Arial" w:eastAsia="Times New Roman" w:hAnsi="Arial" w:cs="Arial"/>
          <w:b/>
          <w:bCs/>
          <w:i/>
          <w:iCs/>
          <w:color w:val="333333"/>
          <w:sz w:val="14"/>
          <w:szCs w:val="14"/>
          <w:lang w:eastAsia="cs-CZ"/>
        </w:rPr>
        <w:t xml:space="preserve"> in der </w:t>
      </w:r>
      <w:proofErr w:type="spellStart"/>
      <w:r w:rsidR="00CF50A1" w:rsidRPr="00CF50A1">
        <w:rPr>
          <w:rFonts w:ascii="Arial" w:eastAsia="Times New Roman" w:hAnsi="Arial" w:cs="Arial"/>
          <w:b/>
          <w:bCs/>
          <w:i/>
          <w:iCs/>
          <w:color w:val="333333"/>
          <w:sz w:val="14"/>
          <w:szCs w:val="14"/>
          <w:lang w:eastAsia="cs-CZ"/>
        </w:rPr>
        <w:t>Höhe</w:t>
      </w:r>
      <w:proofErr w:type="spellEnd"/>
      <w:r w:rsidR="00CF50A1" w:rsidRPr="00CF50A1">
        <w:rPr>
          <w:rFonts w:ascii="Arial" w:eastAsia="Times New Roman" w:hAnsi="Arial" w:cs="Arial"/>
          <w:b/>
          <w:bCs/>
          <w:i/>
          <w:iCs/>
          <w:color w:val="333333"/>
          <w:sz w:val="14"/>
          <w:szCs w:val="14"/>
          <w:lang w:eastAsia="cs-CZ"/>
        </w:rPr>
        <w:t xml:space="preserve"> von 160,- </w:t>
      </w:r>
      <w:proofErr w:type="spellStart"/>
      <w:r w:rsidR="00CF50A1" w:rsidRPr="00CF50A1">
        <w:rPr>
          <w:rFonts w:ascii="Arial" w:eastAsia="Times New Roman" w:hAnsi="Arial" w:cs="Arial"/>
          <w:b/>
          <w:bCs/>
          <w:i/>
          <w:iCs/>
          <w:color w:val="333333"/>
          <w:sz w:val="14"/>
          <w:szCs w:val="14"/>
          <w:lang w:eastAsia="cs-CZ"/>
        </w:rPr>
        <w:t>Kc</w:t>
      </w:r>
      <w:proofErr w:type="spellEnd"/>
      <w:r w:rsidR="00CF50A1" w:rsidRPr="00CF50A1">
        <w:rPr>
          <w:rFonts w:ascii="Arial" w:eastAsia="Times New Roman" w:hAnsi="Arial" w:cs="Arial"/>
          <w:b/>
          <w:bCs/>
          <w:i/>
          <w:iCs/>
          <w:color w:val="333333"/>
          <w:sz w:val="14"/>
          <w:szCs w:val="14"/>
          <w:lang w:eastAsia="cs-CZ"/>
        </w:rPr>
        <w:t>/</w:t>
      </w:r>
      <w:proofErr w:type="spellStart"/>
      <w:r w:rsidR="00CF50A1" w:rsidRPr="00CF50A1">
        <w:rPr>
          <w:rFonts w:ascii="Arial" w:eastAsia="Times New Roman" w:hAnsi="Arial" w:cs="Arial"/>
          <w:b/>
          <w:bCs/>
          <w:i/>
          <w:iCs/>
          <w:color w:val="333333"/>
          <w:sz w:val="14"/>
          <w:szCs w:val="14"/>
          <w:lang w:eastAsia="cs-CZ"/>
        </w:rPr>
        <w:t>fm</w:t>
      </w:r>
      <w:proofErr w:type="spellEnd"/>
      <w:r w:rsidR="00CF50A1" w:rsidRPr="00CF50A1">
        <w:rPr>
          <w:rFonts w:ascii="Arial" w:eastAsia="Times New Roman" w:hAnsi="Arial" w:cs="Arial"/>
          <w:b/>
          <w:bCs/>
          <w:i/>
          <w:iCs/>
          <w:color w:val="333333"/>
          <w:sz w:val="14"/>
          <w:szCs w:val="14"/>
          <w:lang w:eastAsia="cs-CZ"/>
        </w:rPr>
        <w:t xml:space="preserve"> </w:t>
      </w:r>
      <w:proofErr w:type="spellStart"/>
      <w:r w:rsidR="00CF50A1" w:rsidRPr="00CF50A1">
        <w:rPr>
          <w:rFonts w:ascii="Arial" w:eastAsia="Times New Roman" w:hAnsi="Arial" w:cs="Arial"/>
          <w:b/>
          <w:bCs/>
          <w:i/>
          <w:iCs/>
          <w:color w:val="333333"/>
          <w:sz w:val="14"/>
          <w:szCs w:val="14"/>
          <w:lang w:eastAsia="cs-CZ"/>
        </w:rPr>
        <w:t>verrechnet</w:t>
      </w:r>
      <w:proofErr w:type="spellEnd"/>
      <w:r w:rsidR="00CF50A1" w:rsidRPr="00CF50A1">
        <w:rPr>
          <w:rFonts w:ascii="Arial" w:eastAsia="Times New Roman" w:hAnsi="Arial" w:cs="Arial"/>
          <w:b/>
          <w:bCs/>
          <w:i/>
          <w:iCs/>
          <w:color w:val="333333"/>
          <w:sz w:val="14"/>
          <w:szCs w:val="14"/>
          <w:lang w:eastAsia="cs-CZ"/>
        </w:rPr>
        <w:t>./</w:t>
      </w:r>
    </w:p>
    <w:p w:rsidR="00CF50A1" w:rsidRDefault="00CF50A1" w:rsidP="006C0CC1">
      <w:pPr>
        <w:spacing w:after="240" w:line="240" w:lineRule="auto"/>
        <w:jc w:val="both"/>
        <w:rPr>
          <w:rFonts w:ascii="Arial" w:eastAsia="Times New Roman" w:hAnsi="Arial" w:cs="Arial"/>
          <w:i/>
          <w:iCs/>
          <w:color w:val="333333"/>
          <w:sz w:val="14"/>
          <w:szCs w:val="14"/>
          <w:lang w:eastAsia="cs-CZ"/>
        </w:rPr>
      </w:pPr>
      <w:r w:rsidRPr="00CF50A1">
        <w:rPr>
          <w:rFonts w:ascii="Arial" w:eastAsia="Times New Roman" w:hAnsi="Arial" w:cs="Arial"/>
          <w:color w:val="333333"/>
          <w:sz w:val="14"/>
          <w:szCs w:val="14"/>
          <w:lang w:eastAsia="cs-CZ"/>
        </w:rPr>
        <w:t>V případě nedostatku silničních odvozních kapacit se kupující dohodl s prodávajícím, že bude smluvený objem do výše </w:t>
      </w:r>
      <w:r w:rsidRPr="00CF50A1">
        <w:rPr>
          <w:rFonts w:ascii="Arial" w:eastAsia="Times New Roman" w:hAnsi="Arial" w:cs="Arial"/>
          <w:b/>
          <w:bCs/>
          <w:color w:val="333333"/>
          <w:sz w:val="14"/>
          <w:szCs w:val="14"/>
          <w:lang w:eastAsia="cs-CZ"/>
        </w:rPr>
        <w:t>…… %</w:t>
      </w:r>
      <w:r w:rsidRPr="00CF50A1">
        <w:rPr>
          <w:rFonts w:ascii="Arial" w:eastAsia="Times New Roman" w:hAnsi="Arial" w:cs="Arial"/>
          <w:color w:val="333333"/>
          <w:sz w:val="14"/>
          <w:szCs w:val="14"/>
          <w:lang w:eastAsia="cs-CZ"/>
        </w:rPr>
        <w:t> může být realizován po železnici</w:t>
      </w:r>
      <w:r w:rsidRPr="00CF50A1">
        <w:rPr>
          <w:rFonts w:ascii="Arial" w:eastAsia="Times New Roman" w:hAnsi="Arial" w:cs="Arial"/>
          <w:i/>
          <w:iCs/>
          <w:color w:val="333333"/>
          <w:sz w:val="14"/>
          <w:szCs w:val="14"/>
          <w:lang w:eastAsia="cs-CZ"/>
        </w:rPr>
        <w:t>.</w:t>
      </w:r>
    </w:p>
    <w:p w:rsidR="0086772F" w:rsidRDefault="0086772F" w:rsidP="006C0CC1">
      <w:pPr>
        <w:spacing w:after="240" w:line="240" w:lineRule="auto"/>
        <w:jc w:val="both"/>
        <w:rPr>
          <w:rFonts w:ascii="Arial" w:eastAsia="Times New Roman" w:hAnsi="Arial" w:cs="Arial"/>
          <w:i/>
          <w:iCs/>
          <w:color w:val="333333"/>
          <w:sz w:val="14"/>
          <w:szCs w:val="14"/>
          <w:lang w:eastAsia="cs-CZ"/>
        </w:rPr>
      </w:pPr>
    </w:p>
    <w:p w:rsidR="0086772F" w:rsidRPr="00BB709C" w:rsidRDefault="0086772F" w:rsidP="0086772F">
      <w:pPr>
        <w:spacing w:after="240" w:line="240" w:lineRule="atLeast"/>
        <w:ind w:left="300"/>
        <w:jc w:val="both"/>
        <w:rPr>
          <w:rFonts w:ascii="Arial" w:eastAsia="Times New Roman" w:hAnsi="Arial" w:cs="Arial"/>
          <w:bCs/>
          <w:color w:val="333333"/>
          <w:sz w:val="18"/>
          <w:szCs w:val="18"/>
          <w:lang w:eastAsia="cs-CZ"/>
        </w:rPr>
      </w:pPr>
      <w:r w:rsidRPr="00BB709C">
        <w:rPr>
          <w:rFonts w:ascii="Arial" w:eastAsia="Times New Roman" w:hAnsi="Arial" w:cs="Arial"/>
          <w:bCs/>
          <w:color w:val="333333"/>
          <w:sz w:val="18"/>
          <w:szCs w:val="18"/>
          <w:lang w:eastAsia="cs-CZ"/>
        </w:rPr>
        <w:t>V </w:t>
      </w:r>
      <w:r>
        <w:rPr>
          <w:rFonts w:ascii="Arial" w:eastAsia="Times New Roman" w:hAnsi="Arial" w:cs="Arial"/>
          <w:bCs/>
          <w:color w:val="333333"/>
          <w:sz w:val="18"/>
          <w:szCs w:val="18"/>
          <w:lang w:eastAsia="cs-CZ"/>
        </w:rPr>
        <w:t>následujících</w:t>
      </w:r>
      <w:r w:rsidRPr="00BB709C">
        <w:rPr>
          <w:rFonts w:ascii="Arial" w:eastAsia="Times New Roman" w:hAnsi="Arial" w:cs="Arial"/>
          <w:bCs/>
          <w:color w:val="333333"/>
          <w:sz w:val="18"/>
          <w:szCs w:val="18"/>
          <w:lang w:eastAsia="cs-CZ"/>
        </w:rPr>
        <w:t xml:space="preserve"> měsících trvání smlouvy je</w:t>
      </w:r>
      <w:r>
        <w:rPr>
          <w:rFonts w:ascii="Arial" w:eastAsia="Times New Roman" w:hAnsi="Arial" w:cs="Arial"/>
          <w:bCs/>
          <w:color w:val="333333"/>
          <w:sz w:val="18"/>
          <w:szCs w:val="18"/>
          <w:lang w:eastAsia="cs-CZ"/>
        </w:rPr>
        <w:t xml:space="preserve"> výše</w:t>
      </w:r>
      <w:r w:rsidRPr="00BB709C">
        <w:rPr>
          <w:rFonts w:ascii="Arial" w:eastAsia="Times New Roman" w:hAnsi="Arial" w:cs="Arial"/>
          <w:bCs/>
          <w:color w:val="333333"/>
          <w:sz w:val="18"/>
          <w:szCs w:val="18"/>
          <w:lang w:eastAsia="cs-CZ"/>
        </w:rPr>
        <w:t xml:space="preserve"> kupní ceny pro kalendářní měsíc odpovídající výši </w:t>
      </w:r>
      <w:r>
        <w:rPr>
          <w:rFonts w:ascii="Arial" w:eastAsia="Times New Roman" w:hAnsi="Arial" w:cs="Arial"/>
          <w:bCs/>
          <w:color w:val="333333"/>
          <w:sz w:val="18"/>
          <w:szCs w:val="18"/>
          <w:lang w:eastAsia="cs-CZ"/>
        </w:rPr>
        <w:t>kupní ceny</w:t>
      </w:r>
      <w:r w:rsidRPr="00BB709C">
        <w:rPr>
          <w:rFonts w:ascii="Arial" w:eastAsia="Times New Roman" w:hAnsi="Arial" w:cs="Arial"/>
          <w:bCs/>
          <w:color w:val="333333"/>
          <w:sz w:val="18"/>
          <w:szCs w:val="18"/>
          <w:lang w:eastAsia="cs-CZ"/>
        </w:rPr>
        <w:t xml:space="preserve"> za předcházející kalendářní měsíc, v němž byly realizovány dodávky, pokud kupující neuplatní právo na změnu ceny dle podmínek této smlouvy.</w:t>
      </w:r>
    </w:p>
    <w:p w:rsidR="0086772F" w:rsidRPr="004269F9" w:rsidRDefault="0086772F" w:rsidP="004269F9">
      <w:pPr>
        <w:spacing w:after="240" w:line="240" w:lineRule="atLeast"/>
        <w:ind w:left="300"/>
        <w:jc w:val="both"/>
        <w:rPr>
          <w:rFonts w:ascii="Arial" w:eastAsia="Times New Roman" w:hAnsi="Arial" w:cs="Arial"/>
          <w:bCs/>
          <w:color w:val="333333"/>
          <w:sz w:val="18"/>
          <w:szCs w:val="18"/>
          <w:lang w:eastAsia="cs-CZ"/>
        </w:rPr>
      </w:pPr>
      <w:r w:rsidRPr="00BB709C">
        <w:rPr>
          <w:rFonts w:ascii="Arial" w:eastAsia="Times New Roman" w:hAnsi="Arial" w:cs="Arial"/>
          <w:bCs/>
          <w:color w:val="333333"/>
          <w:sz w:val="18"/>
          <w:szCs w:val="18"/>
          <w:lang w:eastAsia="cs-CZ"/>
        </w:rPr>
        <w:t xml:space="preserve">Kupující je oprávněn jednostranně určit výši </w:t>
      </w:r>
      <w:r>
        <w:rPr>
          <w:rFonts w:ascii="Arial" w:eastAsia="Times New Roman" w:hAnsi="Arial" w:cs="Arial"/>
          <w:bCs/>
          <w:color w:val="333333"/>
          <w:sz w:val="18"/>
          <w:szCs w:val="18"/>
          <w:lang w:eastAsia="cs-CZ"/>
        </w:rPr>
        <w:t>kupní ceny</w:t>
      </w:r>
      <w:r w:rsidRPr="00BB709C">
        <w:rPr>
          <w:rFonts w:ascii="Arial" w:eastAsia="Times New Roman" w:hAnsi="Arial" w:cs="Arial"/>
          <w:bCs/>
          <w:color w:val="333333"/>
          <w:sz w:val="18"/>
          <w:szCs w:val="18"/>
          <w:lang w:eastAsia="cs-CZ"/>
        </w:rPr>
        <w:t xml:space="preserve"> pro kalendářní měsíc (s výjimkou prvního měsíce, pro který je </w:t>
      </w:r>
      <w:r>
        <w:rPr>
          <w:rFonts w:ascii="Arial" w:eastAsia="Times New Roman" w:hAnsi="Arial" w:cs="Arial"/>
          <w:bCs/>
          <w:color w:val="333333"/>
          <w:sz w:val="18"/>
          <w:szCs w:val="18"/>
          <w:lang w:eastAsia="cs-CZ"/>
        </w:rPr>
        <w:t>kupní cena</w:t>
      </w:r>
      <w:r w:rsidRPr="00BB709C">
        <w:rPr>
          <w:rFonts w:ascii="Arial" w:eastAsia="Times New Roman" w:hAnsi="Arial" w:cs="Arial"/>
          <w:bCs/>
          <w:color w:val="333333"/>
          <w:sz w:val="18"/>
          <w:szCs w:val="18"/>
          <w:lang w:eastAsia="cs-CZ"/>
        </w:rPr>
        <w:t xml:space="preserve"> sjednán</w:t>
      </w:r>
      <w:r>
        <w:rPr>
          <w:rFonts w:ascii="Arial" w:eastAsia="Times New Roman" w:hAnsi="Arial" w:cs="Arial"/>
          <w:bCs/>
          <w:color w:val="333333"/>
          <w:sz w:val="18"/>
          <w:szCs w:val="18"/>
          <w:lang w:eastAsia="cs-CZ"/>
        </w:rPr>
        <w:t>a</w:t>
      </w:r>
      <w:r w:rsidRPr="00BB709C">
        <w:rPr>
          <w:rFonts w:ascii="Arial" w:eastAsia="Times New Roman" w:hAnsi="Arial" w:cs="Arial"/>
          <w:bCs/>
          <w:color w:val="333333"/>
          <w:sz w:val="18"/>
          <w:szCs w:val="18"/>
          <w:lang w:eastAsia="cs-CZ"/>
        </w:rPr>
        <w:t xml:space="preserve"> výše), a to písemným oznámením prodávajícímu</w:t>
      </w:r>
      <w:r>
        <w:rPr>
          <w:rFonts w:ascii="Arial" w:eastAsia="Times New Roman" w:hAnsi="Arial" w:cs="Arial"/>
          <w:bCs/>
          <w:color w:val="333333"/>
          <w:sz w:val="18"/>
          <w:szCs w:val="18"/>
          <w:lang w:eastAsia="cs-CZ"/>
        </w:rPr>
        <w:t>.</w:t>
      </w:r>
      <w:r w:rsidRPr="00BB709C">
        <w:rPr>
          <w:rFonts w:ascii="Arial" w:eastAsia="Times New Roman" w:hAnsi="Arial" w:cs="Arial"/>
          <w:bCs/>
          <w:color w:val="333333"/>
          <w:sz w:val="18"/>
          <w:szCs w:val="18"/>
          <w:lang w:eastAsia="cs-CZ"/>
        </w:rPr>
        <w:t xml:space="preserve"> Prodávající je povinen kupujícímu sdělit, zda </w:t>
      </w:r>
      <w:r>
        <w:rPr>
          <w:rFonts w:ascii="Arial" w:eastAsia="Times New Roman" w:hAnsi="Arial" w:cs="Arial"/>
          <w:bCs/>
          <w:color w:val="333333"/>
          <w:sz w:val="18"/>
          <w:szCs w:val="18"/>
          <w:lang w:eastAsia="cs-CZ"/>
        </w:rPr>
        <w:t>kupní cenu</w:t>
      </w:r>
      <w:r w:rsidRPr="00BB709C">
        <w:rPr>
          <w:rFonts w:ascii="Arial" w:eastAsia="Times New Roman" w:hAnsi="Arial" w:cs="Arial"/>
          <w:bCs/>
          <w:color w:val="333333"/>
          <w:sz w:val="18"/>
          <w:szCs w:val="18"/>
          <w:lang w:eastAsia="cs-CZ"/>
        </w:rPr>
        <w:t xml:space="preserve"> pro nadcházející kalendářní měsíc přijímá či nikoli. V případě, že prodávající novou </w:t>
      </w:r>
      <w:r>
        <w:rPr>
          <w:rFonts w:ascii="Arial" w:eastAsia="Times New Roman" w:hAnsi="Arial" w:cs="Arial"/>
          <w:bCs/>
          <w:color w:val="333333"/>
          <w:sz w:val="18"/>
          <w:szCs w:val="18"/>
          <w:lang w:eastAsia="cs-CZ"/>
        </w:rPr>
        <w:t>kupní cenu</w:t>
      </w:r>
      <w:r w:rsidRPr="00BB709C">
        <w:rPr>
          <w:rFonts w:ascii="Arial" w:eastAsia="Times New Roman" w:hAnsi="Arial" w:cs="Arial"/>
          <w:bCs/>
          <w:color w:val="333333"/>
          <w:sz w:val="18"/>
          <w:szCs w:val="18"/>
          <w:lang w:eastAsia="cs-CZ"/>
        </w:rPr>
        <w:t xml:space="preserve"> přijme, činí </w:t>
      </w:r>
      <w:r>
        <w:rPr>
          <w:rFonts w:ascii="Arial" w:eastAsia="Times New Roman" w:hAnsi="Arial" w:cs="Arial"/>
          <w:bCs/>
          <w:color w:val="333333"/>
          <w:sz w:val="18"/>
          <w:szCs w:val="18"/>
          <w:lang w:eastAsia="cs-CZ"/>
        </w:rPr>
        <w:t>kupní cenu</w:t>
      </w:r>
      <w:r w:rsidRPr="00BB709C">
        <w:rPr>
          <w:rFonts w:ascii="Arial" w:eastAsia="Times New Roman" w:hAnsi="Arial" w:cs="Arial"/>
          <w:bCs/>
          <w:color w:val="333333"/>
          <w:sz w:val="18"/>
          <w:szCs w:val="18"/>
          <w:lang w:eastAsia="cs-CZ"/>
        </w:rPr>
        <w:t xml:space="preserve"> částka takto určená kupujícím. V případě, že prodávající novou </w:t>
      </w:r>
      <w:r>
        <w:rPr>
          <w:rFonts w:ascii="Arial" w:eastAsia="Times New Roman" w:hAnsi="Arial" w:cs="Arial"/>
          <w:bCs/>
          <w:color w:val="333333"/>
          <w:sz w:val="18"/>
          <w:szCs w:val="18"/>
          <w:lang w:eastAsia="cs-CZ"/>
        </w:rPr>
        <w:t>kupní cenu</w:t>
      </w:r>
      <w:r w:rsidRPr="00BB709C">
        <w:rPr>
          <w:rFonts w:ascii="Arial" w:eastAsia="Times New Roman" w:hAnsi="Arial" w:cs="Arial"/>
          <w:bCs/>
          <w:color w:val="333333"/>
          <w:sz w:val="18"/>
          <w:szCs w:val="18"/>
          <w:lang w:eastAsia="cs-CZ"/>
        </w:rPr>
        <w:t xml:space="preserve"> nepřijme, ruší smluvní strany platnost smlouvy pro předmětný kalendářní měsíc. (V případě, že prodávající nepřijme </w:t>
      </w:r>
      <w:r>
        <w:rPr>
          <w:rFonts w:ascii="Arial" w:eastAsia="Times New Roman" w:hAnsi="Arial" w:cs="Arial"/>
          <w:bCs/>
          <w:color w:val="333333"/>
          <w:sz w:val="18"/>
          <w:szCs w:val="18"/>
          <w:lang w:eastAsia="cs-CZ"/>
        </w:rPr>
        <w:t>kupní cenu</w:t>
      </w:r>
      <w:r w:rsidRPr="00BB709C">
        <w:rPr>
          <w:rFonts w:ascii="Arial" w:eastAsia="Times New Roman" w:hAnsi="Arial" w:cs="Arial"/>
          <w:bCs/>
          <w:color w:val="333333"/>
          <w:sz w:val="18"/>
          <w:szCs w:val="18"/>
          <w:lang w:eastAsia="cs-CZ"/>
        </w:rPr>
        <w:t xml:space="preserve"> pro druhý kalendářní měsíc daného čtvrtletí, ruší se platnost smlouvy pro druhý kalendářní měsíc čtvrtletí a plnění smlouvy pokračuje v třetím kalendářním měsíci daného čtvrtletí, právo kupujícího uplatnit právo na změnu ceny shora uvedeným postupem tím není dotčeno.) Smluvní strany se mohou v jednotlivých případech dohodnout jinak.</w:t>
      </w:r>
    </w:p>
    <w:p w:rsidR="00CF50A1" w:rsidRPr="00CF50A1" w:rsidRDefault="00CF50A1" w:rsidP="006C0CC1">
      <w:pPr>
        <w:numPr>
          <w:ilvl w:val="0"/>
          <w:numId w:val="2"/>
        </w:numPr>
        <w:spacing w:after="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4"/>
          <w:szCs w:val="14"/>
          <w:lang w:eastAsia="cs-CZ"/>
        </w:rPr>
        <w:t>Ukončení smlouvy: </w:t>
      </w:r>
      <w:r w:rsidRPr="00CF50A1">
        <w:rPr>
          <w:rFonts w:ascii="Arial" w:eastAsia="Times New Roman" w:hAnsi="Arial" w:cs="Arial"/>
          <w:color w:val="333333"/>
          <w:sz w:val="14"/>
          <w:szCs w:val="14"/>
          <w:lang w:eastAsia="cs-CZ"/>
        </w:rPr>
        <w:t xml:space="preserve">Tato smlouva zaniká uplynutím doby, na niž byla sjednána nebo dohodou smluvních stran nebo odstoupením od smlouvy kupujícím v případě opakovaného nebo podstatného porušení některé smluvní povinnosti prodávajícího z této smlouvy. Za podstatné porušení této smlouvy prodávajícím se považuje zejména: a) nedodání sjednané kulatiny ve sjednaném množství a kvalitě a/nebo odchylka v množství či kvalitě dodané kulatiny větší než 20 % oproti smluveným podmínkám, b) prodlení prodávajícího s dodáním předmětu smlouvy nebo jeho části trvající déle než 14 dní. Tato smlouva může také zaniknout z důvodů uvedených v bodě 10 platných Technických, fakturačních a přepravních podmínkách </w:t>
      </w:r>
      <w:proofErr w:type="spellStart"/>
      <w:r w:rsidRPr="00CF50A1">
        <w:rPr>
          <w:rFonts w:ascii="Arial" w:eastAsia="Times New Roman" w:hAnsi="Arial" w:cs="Arial"/>
          <w:color w:val="333333"/>
          <w:sz w:val="14"/>
          <w:szCs w:val="14"/>
          <w:lang w:eastAsia="cs-CZ"/>
        </w:rPr>
        <w:t>Wood</w:t>
      </w:r>
      <w:proofErr w:type="spellEnd"/>
      <w:r w:rsidRPr="00CF50A1">
        <w:rPr>
          <w:rFonts w:ascii="Arial" w:eastAsia="Times New Roman" w:hAnsi="Arial" w:cs="Arial"/>
          <w:color w:val="333333"/>
          <w:sz w:val="14"/>
          <w:szCs w:val="14"/>
          <w:lang w:eastAsia="cs-CZ"/>
        </w:rPr>
        <w:t> &amp; </w:t>
      </w:r>
      <w:proofErr w:type="spellStart"/>
      <w:r w:rsidRPr="00CF50A1">
        <w:rPr>
          <w:rFonts w:ascii="Arial" w:eastAsia="Times New Roman" w:hAnsi="Arial" w:cs="Arial"/>
          <w:color w:val="333333"/>
          <w:sz w:val="14"/>
          <w:szCs w:val="14"/>
          <w:lang w:eastAsia="cs-CZ"/>
        </w:rPr>
        <w:t>Paper</w:t>
      </w:r>
      <w:proofErr w:type="spellEnd"/>
      <w:r w:rsidRPr="00CF50A1">
        <w:rPr>
          <w:rFonts w:ascii="Arial" w:eastAsia="Times New Roman" w:hAnsi="Arial" w:cs="Arial"/>
          <w:color w:val="333333"/>
          <w:sz w:val="14"/>
          <w:szCs w:val="14"/>
          <w:lang w:eastAsia="cs-CZ"/>
        </w:rPr>
        <w:t>.</w:t>
      </w:r>
    </w:p>
    <w:p w:rsidR="00CF50A1" w:rsidRPr="00CF50A1" w:rsidRDefault="00CF50A1" w:rsidP="006C0CC1">
      <w:pPr>
        <w:numPr>
          <w:ilvl w:val="0"/>
          <w:numId w:val="2"/>
        </w:numPr>
        <w:spacing w:after="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4"/>
          <w:szCs w:val="14"/>
          <w:lang w:eastAsia="cs-CZ"/>
        </w:rPr>
        <w:t>Obchodní tajemství: </w:t>
      </w:r>
      <w:r w:rsidRPr="00CF50A1">
        <w:rPr>
          <w:rFonts w:ascii="Arial" w:eastAsia="Times New Roman" w:hAnsi="Arial" w:cs="Arial"/>
          <w:color w:val="333333"/>
          <w:sz w:val="14"/>
          <w:szCs w:val="14"/>
          <w:lang w:eastAsia="cs-CZ"/>
        </w:rPr>
        <w:t xml:space="preserve">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 není-li stanoveno jinak. WOOD &amp;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w:t>
      </w:r>
      <w:proofErr w:type="spellStart"/>
      <w:proofErr w:type="gramStart"/>
      <w:r w:rsidRPr="00CF50A1">
        <w:rPr>
          <w:rFonts w:ascii="Arial" w:eastAsia="Times New Roman" w:hAnsi="Arial" w:cs="Arial"/>
          <w:color w:val="333333"/>
          <w:sz w:val="14"/>
          <w:szCs w:val="14"/>
          <w:lang w:eastAsia="cs-CZ"/>
        </w:rPr>
        <w:t>zachovaly.V</w:t>
      </w:r>
      <w:proofErr w:type="spellEnd"/>
      <w:proofErr w:type="gramEnd"/>
      <w:r w:rsidRPr="00CF50A1">
        <w:rPr>
          <w:rFonts w:ascii="Arial" w:eastAsia="Times New Roman" w:hAnsi="Arial" w:cs="Arial"/>
          <w:color w:val="333333"/>
          <w:sz w:val="14"/>
          <w:szCs w:val="14"/>
          <w:lang w:eastAsia="cs-CZ"/>
        </w:rPr>
        <w:t> případě,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 Kč.</w:t>
      </w:r>
    </w:p>
    <w:p w:rsidR="005D0A99" w:rsidRPr="001E3F86" w:rsidRDefault="00CF50A1" w:rsidP="005D0A99">
      <w:pPr>
        <w:numPr>
          <w:ilvl w:val="0"/>
          <w:numId w:val="2"/>
        </w:numPr>
        <w:spacing w:after="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4"/>
          <w:szCs w:val="14"/>
          <w:lang w:eastAsia="cs-CZ"/>
        </w:rPr>
        <w:t>Příloha a nedílná součást této kupní smlouvy:</w:t>
      </w:r>
      <w:r w:rsidRPr="00CF50A1">
        <w:rPr>
          <w:rFonts w:ascii="Arial" w:eastAsia="Times New Roman" w:hAnsi="Arial" w:cs="Arial"/>
          <w:color w:val="333333"/>
          <w:sz w:val="14"/>
          <w:szCs w:val="14"/>
          <w:lang w:eastAsia="cs-CZ"/>
        </w:rPr>
        <w:t> Smluvní strany se dohodly, že přílohou a nedílnou součástí této smlouvy jsou obchodní podmínky kupujícího </w:t>
      </w:r>
      <w:r w:rsidRPr="00CF50A1">
        <w:rPr>
          <w:rFonts w:ascii="Arial" w:eastAsia="Times New Roman" w:hAnsi="Arial" w:cs="Arial"/>
          <w:b/>
          <w:bCs/>
          <w:color w:val="333333"/>
          <w:sz w:val="14"/>
          <w:szCs w:val="14"/>
          <w:lang w:eastAsia="cs-CZ"/>
        </w:rPr>
        <w:t xml:space="preserve">Technické, fakturační a přepravní podmínky </w:t>
      </w:r>
      <w:proofErr w:type="spellStart"/>
      <w:r w:rsidRPr="00CF50A1">
        <w:rPr>
          <w:rFonts w:ascii="Arial" w:eastAsia="Times New Roman" w:hAnsi="Arial" w:cs="Arial"/>
          <w:b/>
          <w:bCs/>
          <w:color w:val="333333"/>
          <w:sz w:val="14"/>
          <w:szCs w:val="14"/>
          <w:lang w:eastAsia="cs-CZ"/>
        </w:rPr>
        <w:t>Wood</w:t>
      </w:r>
      <w:proofErr w:type="spellEnd"/>
      <w:r w:rsidRPr="00CF50A1">
        <w:rPr>
          <w:rFonts w:ascii="Arial" w:eastAsia="Times New Roman" w:hAnsi="Arial" w:cs="Arial"/>
          <w:b/>
          <w:bCs/>
          <w:color w:val="333333"/>
          <w:sz w:val="14"/>
          <w:szCs w:val="14"/>
          <w:lang w:eastAsia="cs-CZ"/>
        </w:rPr>
        <w:t xml:space="preserve"> &amp; </w:t>
      </w:r>
      <w:proofErr w:type="spellStart"/>
      <w:r w:rsidRPr="00CF50A1">
        <w:rPr>
          <w:rFonts w:ascii="Arial" w:eastAsia="Times New Roman" w:hAnsi="Arial" w:cs="Arial"/>
          <w:b/>
          <w:bCs/>
          <w:color w:val="333333"/>
          <w:sz w:val="14"/>
          <w:szCs w:val="14"/>
          <w:lang w:eastAsia="cs-CZ"/>
        </w:rPr>
        <w:t>Paper</w:t>
      </w:r>
      <w:proofErr w:type="spellEnd"/>
      <w:r w:rsidRPr="00CF50A1">
        <w:rPr>
          <w:rFonts w:ascii="Arial" w:eastAsia="Times New Roman" w:hAnsi="Arial" w:cs="Arial"/>
          <w:b/>
          <w:bCs/>
          <w:color w:val="333333"/>
          <w:sz w:val="14"/>
          <w:szCs w:val="14"/>
          <w:lang w:eastAsia="cs-CZ"/>
        </w:rPr>
        <w:t>, platné pro I</w:t>
      </w:r>
      <w:r w:rsidR="007B7E21">
        <w:rPr>
          <w:rFonts w:ascii="Arial" w:eastAsia="Times New Roman" w:hAnsi="Arial" w:cs="Arial"/>
          <w:b/>
          <w:bCs/>
          <w:color w:val="333333"/>
          <w:sz w:val="14"/>
          <w:szCs w:val="14"/>
          <w:lang w:eastAsia="cs-CZ"/>
        </w:rPr>
        <w:t>.Q 2025</w:t>
      </w:r>
      <w:r w:rsidRPr="00CF50A1">
        <w:rPr>
          <w:rFonts w:ascii="Arial" w:eastAsia="Times New Roman" w:hAnsi="Arial" w:cs="Arial"/>
          <w:b/>
          <w:bCs/>
          <w:color w:val="333333"/>
          <w:sz w:val="14"/>
          <w:szCs w:val="14"/>
          <w:lang w:eastAsia="cs-CZ"/>
        </w:rPr>
        <w:t> </w:t>
      </w:r>
      <w:r w:rsidRPr="00CF50A1">
        <w:rPr>
          <w:rFonts w:ascii="Arial" w:eastAsia="Times New Roman" w:hAnsi="Arial" w:cs="Arial"/>
          <w:color w:val="333333"/>
          <w:sz w:val="14"/>
          <w:szCs w:val="14"/>
          <w:lang w:eastAsia="cs-CZ"/>
        </w:rPr>
        <w:t xml:space="preserve">(v této kupní smlouvě označené též jako „platné Technické, fakturační a přepravní podmínky </w:t>
      </w:r>
      <w:proofErr w:type="spellStart"/>
      <w:r w:rsidRPr="00CF50A1">
        <w:rPr>
          <w:rFonts w:ascii="Arial" w:eastAsia="Times New Roman" w:hAnsi="Arial" w:cs="Arial"/>
          <w:color w:val="333333"/>
          <w:sz w:val="14"/>
          <w:szCs w:val="14"/>
          <w:lang w:eastAsia="cs-CZ"/>
        </w:rPr>
        <w:t>Wood</w:t>
      </w:r>
      <w:proofErr w:type="spellEnd"/>
      <w:r w:rsidRPr="00CF50A1">
        <w:rPr>
          <w:rFonts w:ascii="Arial" w:eastAsia="Times New Roman" w:hAnsi="Arial" w:cs="Arial"/>
          <w:color w:val="333333"/>
          <w:sz w:val="14"/>
          <w:szCs w:val="14"/>
          <w:lang w:eastAsia="cs-CZ"/>
        </w:rPr>
        <w:t xml:space="preserve"> &amp; </w:t>
      </w:r>
      <w:proofErr w:type="spellStart"/>
      <w:r w:rsidRPr="00CF50A1">
        <w:rPr>
          <w:rFonts w:ascii="Arial" w:eastAsia="Times New Roman" w:hAnsi="Arial" w:cs="Arial"/>
          <w:color w:val="333333"/>
          <w:sz w:val="14"/>
          <w:szCs w:val="14"/>
          <w:lang w:eastAsia="cs-CZ"/>
        </w:rPr>
        <w:t>Paper</w:t>
      </w:r>
      <w:proofErr w:type="spellEnd"/>
      <w:r w:rsidRPr="00CF50A1">
        <w:rPr>
          <w:rFonts w:ascii="Arial" w:eastAsia="Times New Roman" w:hAnsi="Arial" w:cs="Arial"/>
          <w:color w:val="333333"/>
          <w:sz w:val="14"/>
          <w:szCs w:val="14"/>
          <w:lang w:eastAsia="cs-CZ"/>
        </w:rPr>
        <w:t>“).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hyperlink r:id="rId12" w:history="1">
        <w:r w:rsidRPr="00CF50A1">
          <w:rPr>
            <w:rFonts w:ascii="Arial" w:eastAsia="Times New Roman" w:hAnsi="Arial" w:cs="Arial"/>
            <w:color w:val="0782C1"/>
            <w:sz w:val="14"/>
            <w:szCs w:val="14"/>
            <w:u w:val="single"/>
            <w:lang w:eastAsia="cs-CZ"/>
          </w:rPr>
          <w:t>www.wood-paper.cz</w:t>
        </w:r>
      </w:hyperlink>
      <w:r w:rsidRPr="00CF50A1">
        <w:rPr>
          <w:rFonts w:ascii="Arial" w:eastAsia="Times New Roman" w:hAnsi="Arial" w:cs="Arial"/>
          <w:color w:val="333333"/>
          <w:sz w:val="14"/>
          <w:szCs w:val="14"/>
          <w:lang w:eastAsia="cs-CZ"/>
        </w:rPr>
        <w:t>. </w:t>
      </w:r>
      <w:r w:rsidRPr="00CF50A1">
        <w:rPr>
          <w:rFonts w:ascii="Arial" w:eastAsia="Times New Roman" w:hAnsi="Arial" w:cs="Arial"/>
          <w:b/>
          <w:bCs/>
          <w:color w:val="333333"/>
          <w:sz w:val="14"/>
          <w:szCs w:val="14"/>
          <w:lang w:eastAsia="cs-CZ"/>
        </w:rPr>
        <w:t>Prodávající prohlašuje a podpisem této smlouvy potvrzuje, že tyto podmínky před uzavřením této kupní smlouvy převzal, podrobně se s nimi seznámil, ujednáním rozumí a souhlasí s nimi a tyto podmínky bez výhrad akceptuje.</w:t>
      </w:r>
      <w:r w:rsidRPr="00CF50A1">
        <w:rPr>
          <w:rFonts w:ascii="Arial" w:eastAsia="Times New Roman" w:hAnsi="Arial" w:cs="Arial"/>
          <w:color w:val="333333"/>
          <w:sz w:val="14"/>
          <w:szCs w:val="14"/>
          <w:lang w:eastAsia="cs-CZ"/>
        </w:rPr>
        <w:t> V případě rozporu mezi touto kupní smlouvou a těmito podmínkami má přednost tato smlouva.</w:t>
      </w:r>
    </w:p>
    <w:p w:rsidR="001E3F86" w:rsidRDefault="001E3F86" w:rsidP="001E3F86">
      <w:pPr>
        <w:spacing w:after="0" w:line="240" w:lineRule="atLeast"/>
        <w:jc w:val="both"/>
        <w:rPr>
          <w:rFonts w:ascii="Arial" w:eastAsia="Times New Roman" w:hAnsi="Arial" w:cs="Arial"/>
          <w:color w:val="333333"/>
          <w:sz w:val="20"/>
          <w:szCs w:val="20"/>
          <w:lang w:eastAsia="cs-CZ"/>
        </w:rPr>
      </w:pPr>
    </w:p>
    <w:p w:rsidR="001E3F86" w:rsidRDefault="001E3F86" w:rsidP="001E3F86">
      <w:pPr>
        <w:spacing w:after="0" w:line="240" w:lineRule="atLeast"/>
        <w:jc w:val="both"/>
        <w:rPr>
          <w:rFonts w:ascii="Arial" w:eastAsia="Times New Roman" w:hAnsi="Arial" w:cs="Arial"/>
          <w:color w:val="333333"/>
          <w:sz w:val="20"/>
          <w:szCs w:val="20"/>
          <w:lang w:eastAsia="cs-CZ"/>
        </w:rPr>
      </w:pPr>
    </w:p>
    <w:p w:rsidR="001E3F86" w:rsidRDefault="001E3F86" w:rsidP="001E3F86">
      <w:pPr>
        <w:spacing w:after="0" w:line="240" w:lineRule="atLeast"/>
        <w:jc w:val="both"/>
        <w:rPr>
          <w:rFonts w:ascii="Arial" w:eastAsia="Times New Roman" w:hAnsi="Arial" w:cs="Arial"/>
          <w:color w:val="333333"/>
          <w:sz w:val="20"/>
          <w:szCs w:val="20"/>
          <w:lang w:eastAsia="cs-CZ"/>
        </w:rPr>
      </w:pPr>
    </w:p>
    <w:p w:rsidR="001E3F86" w:rsidRDefault="001E3F86" w:rsidP="001E3F86">
      <w:pPr>
        <w:spacing w:after="0" w:line="240" w:lineRule="atLeast"/>
        <w:jc w:val="both"/>
        <w:rPr>
          <w:rFonts w:ascii="Arial" w:eastAsia="Times New Roman" w:hAnsi="Arial" w:cs="Arial"/>
          <w:color w:val="333333"/>
          <w:sz w:val="20"/>
          <w:szCs w:val="20"/>
          <w:lang w:eastAsia="cs-CZ"/>
        </w:rPr>
      </w:pPr>
    </w:p>
    <w:p w:rsidR="001E3F86" w:rsidRDefault="001E3F86" w:rsidP="001E3F86">
      <w:pPr>
        <w:spacing w:after="0" w:line="240" w:lineRule="atLeast"/>
        <w:jc w:val="both"/>
        <w:rPr>
          <w:rFonts w:ascii="Arial" w:eastAsia="Times New Roman" w:hAnsi="Arial" w:cs="Arial"/>
          <w:color w:val="333333"/>
          <w:sz w:val="20"/>
          <w:szCs w:val="20"/>
          <w:lang w:eastAsia="cs-CZ"/>
        </w:rPr>
      </w:pPr>
    </w:p>
    <w:p w:rsidR="001E3F86" w:rsidRPr="00CC33DF" w:rsidRDefault="001E3F86" w:rsidP="001E3F86">
      <w:pPr>
        <w:spacing w:after="0" w:line="240" w:lineRule="atLeast"/>
        <w:jc w:val="both"/>
        <w:rPr>
          <w:rFonts w:ascii="Arial" w:eastAsia="Times New Roman" w:hAnsi="Arial" w:cs="Arial"/>
          <w:color w:val="333333"/>
          <w:sz w:val="20"/>
          <w:szCs w:val="20"/>
          <w:lang w:eastAsia="cs-CZ"/>
        </w:rPr>
      </w:pPr>
    </w:p>
    <w:p w:rsidR="00CF50A1" w:rsidRPr="00A9628D" w:rsidRDefault="00CF50A1" w:rsidP="006C0CC1">
      <w:pPr>
        <w:numPr>
          <w:ilvl w:val="0"/>
          <w:numId w:val="2"/>
        </w:numPr>
        <w:spacing w:after="0" w:line="240" w:lineRule="atLeast"/>
        <w:ind w:left="300"/>
        <w:jc w:val="both"/>
        <w:rPr>
          <w:rFonts w:ascii="Arial" w:eastAsia="Times New Roman" w:hAnsi="Arial" w:cs="Arial"/>
          <w:color w:val="333333"/>
          <w:sz w:val="20"/>
          <w:szCs w:val="20"/>
          <w:lang w:eastAsia="cs-CZ"/>
        </w:rPr>
      </w:pPr>
      <w:r w:rsidRPr="00CF50A1">
        <w:rPr>
          <w:rFonts w:ascii="Arial" w:eastAsia="Times New Roman" w:hAnsi="Arial" w:cs="Arial"/>
          <w:b/>
          <w:bCs/>
          <w:color w:val="333333"/>
          <w:sz w:val="14"/>
          <w:szCs w:val="14"/>
          <w:lang w:eastAsia="cs-CZ"/>
        </w:rPr>
        <w:lastRenderedPageBreak/>
        <w:t>Závěrečná ustanovení: </w:t>
      </w:r>
      <w:r w:rsidRPr="00CF50A1">
        <w:rPr>
          <w:rFonts w:ascii="Arial" w:eastAsia="Times New Roman" w:hAnsi="Arial" w:cs="Arial"/>
          <w:color w:val="333333"/>
          <w:sz w:val="14"/>
          <w:szCs w:val="14"/>
          <w:lang w:eastAsia="cs-CZ"/>
        </w:rPr>
        <w:t>Tato smlouva je vyhotovena ve dvou stejnopisech, z nichž každá smluvní strana obdrží po jednom. Tato smlouva může být měněna pouze písemnými dodatky. Tato smlouva se řídí právem České republiky, zejména občanským zákoníkem. Smluvní strany vylučují aplikaci § 1799 a 1800 občanského zákoníku. K rozhodování sporů z této smlouvy je příslušný obecný soud kupujícího v České republice.</w:t>
      </w:r>
    </w:p>
    <w:p w:rsidR="00A70930" w:rsidRDefault="00A70930" w:rsidP="006C0CC1">
      <w:pPr>
        <w:spacing w:after="0" w:line="240" w:lineRule="auto"/>
        <w:jc w:val="both"/>
        <w:rPr>
          <w:rFonts w:ascii="Arial" w:eastAsia="Times New Roman" w:hAnsi="Arial" w:cs="Arial"/>
          <w:color w:val="333333"/>
          <w:sz w:val="20"/>
          <w:szCs w:val="20"/>
          <w:lang w:eastAsia="cs-CZ"/>
        </w:rPr>
      </w:pPr>
    </w:p>
    <w:p w:rsidR="00A70930" w:rsidRDefault="00A70930" w:rsidP="006C0CC1">
      <w:pPr>
        <w:spacing w:after="0" w:line="240" w:lineRule="auto"/>
        <w:jc w:val="both"/>
        <w:rPr>
          <w:rFonts w:ascii="Arial" w:eastAsia="Times New Roman" w:hAnsi="Arial" w:cs="Arial"/>
          <w:color w:val="333333"/>
          <w:sz w:val="20"/>
          <w:szCs w:val="20"/>
          <w:lang w:eastAsia="cs-CZ"/>
        </w:rPr>
      </w:pPr>
    </w:p>
    <w:p w:rsidR="006C0CC1" w:rsidRDefault="00A70930" w:rsidP="00A9628D">
      <w:pPr>
        <w:spacing w:after="0" w:line="240" w:lineRule="auto"/>
        <w:ind w:left="300"/>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V……………………………….   dne……………………………</w:t>
      </w:r>
    </w:p>
    <w:p w:rsidR="00A9628D" w:rsidRDefault="00A9628D" w:rsidP="008A7418">
      <w:pPr>
        <w:spacing w:after="0" w:line="240" w:lineRule="auto"/>
        <w:rPr>
          <w:rFonts w:ascii="Arial" w:eastAsia="Times New Roman" w:hAnsi="Arial" w:cs="Arial"/>
          <w:color w:val="333333"/>
          <w:sz w:val="20"/>
          <w:szCs w:val="20"/>
          <w:lang w:eastAsia="cs-CZ"/>
        </w:rPr>
      </w:pPr>
    </w:p>
    <w:p w:rsidR="00A9628D" w:rsidRDefault="00A9628D" w:rsidP="00A9628D">
      <w:pPr>
        <w:spacing w:after="0" w:line="240" w:lineRule="auto"/>
        <w:ind w:left="300"/>
        <w:rPr>
          <w:rFonts w:ascii="Arial" w:eastAsia="Times New Roman" w:hAnsi="Arial" w:cs="Arial"/>
          <w:color w:val="333333"/>
          <w:sz w:val="20"/>
          <w:szCs w:val="20"/>
          <w:lang w:eastAsia="cs-CZ"/>
        </w:rPr>
      </w:pPr>
    </w:p>
    <w:p w:rsidR="00A9628D" w:rsidRPr="00A9628D" w:rsidRDefault="00A9628D" w:rsidP="00A9628D">
      <w:pPr>
        <w:spacing w:after="0" w:line="240" w:lineRule="auto"/>
        <w:ind w:left="30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70930" w:rsidRPr="00A70930" w:rsidTr="005A2E40">
        <w:trPr>
          <w:trHeight w:val="1417"/>
        </w:trPr>
        <w:tc>
          <w:tcPr>
            <w:tcW w:w="5228" w:type="dxa"/>
          </w:tcPr>
          <w:p w:rsidR="00A9628D" w:rsidRPr="002902E2" w:rsidRDefault="00A9628D" w:rsidP="00A9628D">
            <w:pPr>
              <w:rPr>
                <w:rFonts w:ascii="Arial" w:eastAsia="Times New Roman" w:hAnsi="Arial" w:cs="Arial"/>
                <w:color w:val="FFFFFF" w:themeColor="background1"/>
                <w:sz w:val="20"/>
                <w:szCs w:val="20"/>
                <w:lang w:eastAsia="cs-CZ"/>
              </w:rPr>
            </w:pPr>
          </w:p>
        </w:tc>
        <w:tc>
          <w:tcPr>
            <w:tcW w:w="5228" w:type="dxa"/>
          </w:tcPr>
          <w:p w:rsidR="006C0CC1" w:rsidRPr="002902E2" w:rsidRDefault="006C0CC1" w:rsidP="006C0CC1">
            <w:pPr>
              <w:ind w:left="764"/>
              <w:rPr>
                <w:rFonts w:ascii="Arial" w:eastAsia="Times New Roman" w:hAnsi="Arial" w:cs="Arial"/>
                <w:color w:val="FFFFFF" w:themeColor="background1"/>
                <w:sz w:val="20"/>
                <w:szCs w:val="20"/>
                <w:lang w:eastAsia="cs-CZ"/>
              </w:rPr>
            </w:pPr>
            <w:r w:rsidRPr="002902E2">
              <w:rPr>
                <w:rFonts w:ascii="Arial" w:eastAsia="Times New Roman" w:hAnsi="Arial" w:cs="Arial"/>
                <w:color w:val="FFFFFF" w:themeColor="background1"/>
                <w:sz w:val="20"/>
                <w:szCs w:val="20"/>
                <w:lang w:eastAsia="cs-CZ"/>
              </w:rPr>
              <w:t>signi-signature-0</w:t>
            </w:r>
            <w:r w:rsidR="005A2E40" w:rsidRPr="002902E2">
              <w:rPr>
                <w:rFonts w:ascii="Arial" w:eastAsia="Times New Roman" w:hAnsi="Arial" w:cs="Arial"/>
                <w:color w:val="FFFFFF" w:themeColor="background1"/>
                <w:sz w:val="20"/>
                <w:szCs w:val="20"/>
                <w:lang w:eastAsia="cs-CZ"/>
              </w:rPr>
              <w:t>1</w:t>
            </w:r>
          </w:p>
        </w:tc>
      </w:tr>
      <w:tr w:rsidR="006C0CC1" w:rsidTr="005A2E40">
        <w:trPr>
          <w:trHeight w:val="170"/>
        </w:trPr>
        <w:tc>
          <w:tcPr>
            <w:tcW w:w="5228" w:type="dxa"/>
            <w:vAlign w:val="bottom"/>
          </w:tcPr>
          <w:p w:rsidR="006C0CC1" w:rsidRDefault="006C0CC1" w:rsidP="006C0CC1">
            <w:pPr>
              <w:jc w:val="center"/>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w:t>
            </w:r>
          </w:p>
        </w:tc>
        <w:tc>
          <w:tcPr>
            <w:tcW w:w="5228" w:type="dxa"/>
            <w:vAlign w:val="bottom"/>
          </w:tcPr>
          <w:p w:rsidR="006C0CC1" w:rsidRDefault="006C0CC1" w:rsidP="006C0CC1">
            <w:pPr>
              <w:jc w:val="center"/>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w:t>
            </w:r>
          </w:p>
        </w:tc>
      </w:tr>
      <w:tr w:rsidR="006C0CC1" w:rsidTr="005A2E40">
        <w:trPr>
          <w:trHeight w:val="452"/>
        </w:trPr>
        <w:tc>
          <w:tcPr>
            <w:tcW w:w="5228" w:type="dxa"/>
          </w:tcPr>
          <w:p w:rsidR="006C0CC1" w:rsidRDefault="006C0CC1" w:rsidP="006C0CC1">
            <w:pPr>
              <w:jc w:val="center"/>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Prodávající</w:t>
            </w:r>
          </w:p>
        </w:tc>
        <w:tc>
          <w:tcPr>
            <w:tcW w:w="5228" w:type="dxa"/>
          </w:tcPr>
          <w:p w:rsidR="006C0CC1" w:rsidRDefault="006C0CC1" w:rsidP="006C0CC1">
            <w:pPr>
              <w:jc w:val="center"/>
              <w:rPr>
                <w:rFonts w:ascii="Arial" w:eastAsia="Times New Roman" w:hAnsi="Arial" w:cs="Arial"/>
                <w:color w:val="333333"/>
                <w:sz w:val="20"/>
                <w:szCs w:val="20"/>
                <w:lang w:eastAsia="cs-CZ"/>
              </w:rPr>
            </w:pPr>
            <w:r>
              <w:rPr>
                <w:rFonts w:ascii="Arial" w:eastAsia="Times New Roman" w:hAnsi="Arial" w:cs="Arial"/>
                <w:color w:val="333333"/>
                <w:sz w:val="20"/>
                <w:szCs w:val="20"/>
                <w:lang w:eastAsia="cs-CZ"/>
              </w:rPr>
              <w:t>Kupující</w:t>
            </w:r>
          </w:p>
        </w:tc>
      </w:tr>
    </w:tbl>
    <w:p w:rsidR="004269F9" w:rsidRDefault="004269F9" w:rsidP="006C0CC1">
      <w:pPr>
        <w:spacing w:after="0" w:line="240" w:lineRule="auto"/>
        <w:jc w:val="both"/>
      </w:pPr>
    </w:p>
    <w:p w:rsidR="004269F9" w:rsidRDefault="004269F9" w:rsidP="006C0CC1">
      <w:pPr>
        <w:spacing w:after="0" w:line="240" w:lineRule="auto"/>
        <w:jc w:val="both"/>
      </w:pPr>
    </w:p>
    <w:p w:rsidR="00D365DC" w:rsidRDefault="00D365DC" w:rsidP="006C0CC1">
      <w:pPr>
        <w:spacing w:after="0" w:line="240" w:lineRule="auto"/>
        <w:jc w:val="both"/>
      </w:pPr>
    </w:p>
    <w:sectPr w:rsidR="00D365DC" w:rsidSect="00CF50A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522B" w:rsidRDefault="0088522B" w:rsidP="006C0CC1">
      <w:pPr>
        <w:spacing w:after="0" w:line="240" w:lineRule="auto"/>
      </w:pPr>
      <w:r>
        <w:separator/>
      </w:r>
    </w:p>
  </w:endnote>
  <w:endnote w:type="continuationSeparator" w:id="0">
    <w:p w:rsidR="0088522B" w:rsidRDefault="0088522B" w:rsidP="006C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rsidR="00785DE8" w:rsidRDefault="00785DE8" w:rsidP="006C0CC1">
        <w:pPr>
          <w:pStyle w:val="Zpat"/>
          <w:jc w:val="center"/>
        </w:pPr>
        <w:r w:rsidRPr="00362739">
          <w:rPr>
            <w:rFonts w:ascii="Arial" w:hAnsi="Arial" w:cs="Arial"/>
            <w:b/>
            <w:bCs/>
            <w:sz w:val="20"/>
            <w:szCs w:val="20"/>
          </w:rPr>
          <w:fldChar w:fldCharType="begin"/>
        </w:r>
        <w:r w:rsidRPr="00362739">
          <w:rPr>
            <w:rFonts w:ascii="Arial" w:hAnsi="Arial" w:cs="Arial"/>
            <w:b/>
            <w:bCs/>
            <w:sz w:val="20"/>
            <w:szCs w:val="20"/>
          </w:rPr>
          <w:instrText>PAGE</w:instrText>
        </w:r>
        <w:r w:rsidRPr="00362739">
          <w:rPr>
            <w:rFonts w:ascii="Arial" w:hAnsi="Arial" w:cs="Arial"/>
            <w:b/>
            <w:bCs/>
            <w:sz w:val="20"/>
            <w:szCs w:val="20"/>
          </w:rPr>
          <w:fldChar w:fldCharType="separate"/>
        </w:r>
        <w:r w:rsidR="00817318">
          <w:rPr>
            <w:rFonts w:ascii="Arial" w:hAnsi="Arial" w:cs="Arial"/>
            <w:b/>
            <w:bCs/>
            <w:noProof/>
            <w:sz w:val="20"/>
            <w:szCs w:val="20"/>
          </w:rPr>
          <w:t>2</w:t>
        </w:r>
        <w:r w:rsidRPr="00362739">
          <w:rPr>
            <w:rFonts w:ascii="Arial" w:hAnsi="Arial" w:cs="Arial"/>
            <w:b/>
            <w:bCs/>
            <w:sz w:val="20"/>
            <w:szCs w:val="20"/>
          </w:rPr>
          <w:fldChar w:fldCharType="end"/>
        </w:r>
        <w:r w:rsidRPr="00362739">
          <w:rPr>
            <w:rFonts w:ascii="Arial" w:hAnsi="Arial" w:cs="Arial"/>
            <w:sz w:val="20"/>
            <w:szCs w:val="20"/>
          </w:rPr>
          <w:t xml:space="preserve"> / </w:t>
        </w:r>
        <w:r w:rsidRPr="00362739">
          <w:rPr>
            <w:rFonts w:ascii="Arial" w:hAnsi="Arial" w:cs="Arial"/>
            <w:b/>
            <w:bCs/>
            <w:sz w:val="20"/>
            <w:szCs w:val="20"/>
          </w:rPr>
          <w:fldChar w:fldCharType="begin"/>
        </w:r>
        <w:r w:rsidRPr="00362739">
          <w:rPr>
            <w:rFonts w:ascii="Arial" w:hAnsi="Arial" w:cs="Arial"/>
            <w:b/>
            <w:bCs/>
            <w:sz w:val="20"/>
            <w:szCs w:val="20"/>
          </w:rPr>
          <w:instrText>NUMPAGES</w:instrText>
        </w:r>
        <w:r w:rsidRPr="00362739">
          <w:rPr>
            <w:rFonts w:ascii="Arial" w:hAnsi="Arial" w:cs="Arial"/>
            <w:b/>
            <w:bCs/>
            <w:sz w:val="20"/>
            <w:szCs w:val="20"/>
          </w:rPr>
          <w:fldChar w:fldCharType="separate"/>
        </w:r>
        <w:r w:rsidR="00817318">
          <w:rPr>
            <w:rFonts w:ascii="Arial" w:hAnsi="Arial" w:cs="Arial"/>
            <w:b/>
            <w:bCs/>
            <w:noProof/>
            <w:sz w:val="20"/>
            <w:szCs w:val="20"/>
          </w:rPr>
          <w:t>3</w:t>
        </w:r>
        <w:r w:rsidRPr="00362739">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522B" w:rsidRDefault="0088522B" w:rsidP="006C0CC1">
      <w:pPr>
        <w:spacing w:after="0" w:line="240" w:lineRule="auto"/>
      </w:pPr>
      <w:r>
        <w:separator/>
      </w:r>
    </w:p>
  </w:footnote>
  <w:footnote w:type="continuationSeparator" w:id="0">
    <w:p w:rsidR="0088522B" w:rsidRDefault="0088522B" w:rsidP="006C0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0964"/>
    <w:multiLevelType w:val="multilevel"/>
    <w:tmpl w:val="C908C9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42DC2"/>
    <w:multiLevelType w:val="multilevel"/>
    <w:tmpl w:val="3F1ED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C64FBE"/>
    <w:multiLevelType w:val="hybridMultilevel"/>
    <w:tmpl w:val="C5BA2CF4"/>
    <w:lvl w:ilvl="0" w:tplc="04050001">
      <w:start w:val="1"/>
      <w:numFmt w:val="bullet"/>
      <w:lvlText w:val=""/>
      <w:lvlJc w:val="left"/>
      <w:pPr>
        <w:ind w:left="2345" w:hanging="360"/>
      </w:pPr>
      <w:rPr>
        <w:rFonts w:ascii="Symbol" w:hAnsi="Symbo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3" w15:restartNumberingAfterBreak="0">
    <w:nsid w:val="29CE0D56"/>
    <w:multiLevelType w:val="hybridMultilevel"/>
    <w:tmpl w:val="7790337C"/>
    <w:lvl w:ilvl="0" w:tplc="EA44E026">
      <w:start w:val="1"/>
      <w:numFmt w:val="decimal"/>
      <w:lvlText w:val="%1)"/>
      <w:lvlJc w:val="left"/>
      <w:pPr>
        <w:tabs>
          <w:tab w:val="num" w:pos="720"/>
        </w:tabs>
        <w:ind w:left="720" w:hanging="360"/>
      </w:pPr>
      <w:rPr>
        <w:b/>
      </w:rPr>
    </w:lvl>
    <w:lvl w:ilvl="1" w:tplc="E9200330">
      <w:start w:val="1"/>
      <w:numFmt w:val="lowerLetter"/>
      <w:lvlText w:val="%2."/>
      <w:lvlJc w:val="left"/>
      <w:pPr>
        <w:tabs>
          <w:tab w:val="num" w:pos="1440"/>
        </w:tabs>
        <w:ind w:left="1440" w:hanging="360"/>
      </w:pPr>
      <w:rPr>
        <w:b/>
      </w:rPr>
    </w:lvl>
    <w:lvl w:ilvl="2" w:tplc="04050001">
      <w:start w:val="1"/>
      <w:numFmt w:val="bullet"/>
      <w:lvlText w:val=""/>
      <w:lvlJc w:val="left"/>
      <w:pPr>
        <w:tabs>
          <w:tab w:val="num" w:pos="2340"/>
        </w:tabs>
        <w:ind w:left="2340" w:hanging="360"/>
      </w:pPr>
      <w:rPr>
        <w:rFonts w:ascii="Symbol" w:hAnsi="Symbol" w:hint="default"/>
        <w:b/>
      </w:r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431842"/>
    <w:multiLevelType w:val="hybridMultilevel"/>
    <w:tmpl w:val="C4AA4E88"/>
    <w:lvl w:ilvl="0" w:tplc="1CE25CE8">
      <w:start w:val="1"/>
      <w:numFmt w:val="decimal"/>
      <w:lvlText w:val="%1)"/>
      <w:lvlJc w:val="left"/>
      <w:pPr>
        <w:tabs>
          <w:tab w:val="num" w:pos="720"/>
        </w:tabs>
        <w:ind w:left="720" w:hanging="360"/>
      </w:pPr>
      <w:rPr>
        <w:b/>
        <w:sz w:val="16"/>
        <w:szCs w:val="16"/>
      </w:rPr>
    </w:lvl>
    <w:lvl w:ilvl="1" w:tplc="E9200330">
      <w:start w:val="1"/>
      <w:numFmt w:val="lowerLetter"/>
      <w:lvlText w:val="%2."/>
      <w:lvlJc w:val="left"/>
      <w:pPr>
        <w:tabs>
          <w:tab w:val="num" w:pos="1353"/>
        </w:tabs>
        <w:ind w:left="1353" w:hanging="360"/>
      </w:pPr>
      <w:rPr>
        <w:b/>
        <w:sz w:val="16"/>
        <w:szCs w:val="16"/>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4A1470C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468621B"/>
    <w:multiLevelType w:val="multilevel"/>
    <w:tmpl w:val="6EDEA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E117CA"/>
    <w:multiLevelType w:val="multilevel"/>
    <w:tmpl w:val="9038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607B89"/>
    <w:multiLevelType w:val="hybridMultilevel"/>
    <w:tmpl w:val="46603488"/>
    <w:lvl w:ilvl="0" w:tplc="04050001">
      <w:start w:val="1"/>
      <w:numFmt w:val="bullet"/>
      <w:lvlText w:val=""/>
      <w:lvlJc w:val="left"/>
      <w:pPr>
        <w:tabs>
          <w:tab w:val="num" w:pos="2484"/>
        </w:tabs>
        <w:ind w:left="2484" w:hanging="360"/>
      </w:pPr>
      <w:rPr>
        <w:rFonts w:ascii="Symbol" w:hAnsi="Symbol" w:hint="default"/>
      </w:rPr>
    </w:lvl>
    <w:lvl w:ilvl="1" w:tplc="04050003" w:tentative="1">
      <w:start w:val="1"/>
      <w:numFmt w:val="bullet"/>
      <w:lvlText w:val="o"/>
      <w:lvlJc w:val="left"/>
      <w:pPr>
        <w:tabs>
          <w:tab w:val="num" w:pos="3204"/>
        </w:tabs>
        <w:ind w:left="3204" w:hanging="360"/>
      </w:pPr>
      <w:rPr>
        <w:rFonts w:ascii="Courier New" w:hAnsi="Courier New" w:cs="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8" w15:restartNumberingAfterBreak="0">
    <w:nsid w:val="7EF60537"/>
    <w:multiLevelType w:val="hybridMultilevel"/>
    <w:tmpl w:val="9500A3D2"/>
    <w:lvl w:ilvl="0" w:tplc="04050001">
      <w:start w:val="1"/>
      <w:numFmt w:val="bullet"/>
      <w:lvlText w:val=""/>
      <w:lvlJc w:val="left"/>
      <w:pPr>
        <w:tabs>
          <w:tab w:val="num" w:pos="2484"/>
        </w:tabs>
        <w:ind w:left="2484" w:hanging="360"/>
      </w:pPr>
      <w:rPr>
        <w:rFonts w:ascii="Symbol" w:hAnsi="Symbol" w:hint="default"/>
      </w:rPr>
    </w:lvl>
    <w:lvl w:ilvl="1" w:tplc="E9200330">
      <w:start w:val="1"/>
      <w:numFmt w:val="lowerLetter"/>
      <w:lvlText w:val="%2."/>
      <w:lvlJc w:val="left"/>
      <w:pPr>
        <w:tabs>
          <w:tab w:val="num" w:pos="3204"/>
        </w:tabs>
        <w:ind w:left="3204" w:hanging="360"/>
      </w:pPr>
      <w:rPr>
        <w:rFonts w:hint="default"/>
        <w:b/>
      </w:rPr>
    </w:lvl>
    <w:lvl w:ilvl="2" w:tplc="04050005">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cs="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cs="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num w:numId="1" w16cid:durableId="1734617585">
    <w:abstractNumId w:val="6"/>
  </w:num>
  <w:num w:numId="2" w16cid:durableId="1733770336">
    <w:abstractNumId w:val="0"/>
  </w:num>
  <w:num w:numId="3" w16cid:durableId="1871138638">
    <w:abstractNumId w:val="4"/>
  </w:num>
  <w:num w:numId="4" w16cid:durableId="1309280799">
    <w:abstractNumId w:val="3"/>
  </w:num>
  <w:num w:numId="5" w16cid:durableId="397174695">
    <w:abstractNumId w:val="7"/>
  </w:num>
  <w:num w:numId="6" w16cid:durableId="1587568468">
    <w:abstractNumId w:val="8"/>
  </w:num>
  <w:num w:numId="7" w16cid:durableId="99645181">
    <w:abstractNumId w:val="2"/>
  </w:num>
  <w:num w:numId="8" w16cid:durableId="1003244273">
    <w:abstractNumId w:val="5"/>
  </w:num>
  <w:num w:numId="9" w16cid:durableId="188975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A1"/>
    <w:rsid w:val="00014DC2"/>
    <w:rsid w:val="00030920"/>
    <w:rsid w:val="000504A8"/>
    <w:rsid w:val="00056E40"/>
    <w:rsid w:val="000614DC"/>
    <w:rsid w:val="00077D12"/>
    <w:rsid w:val="00085F54"/>
    <w:rsid w:val="0009651E"/>
    <w:rsid w:val="000A1316"/>
    <w:rsid w:val="000B1161"/>
    <w:rsid w:val="000C5D21"/>
    <w:rsid w:val="0012712D"/>
    <w:rsid w:val="00141F09"/>
    <w:rsid w:val="0017091C"/>
    <w:rsid w:val="001A1CEF"/>
    <w:rsid w:val="001C3219"/>
    <w:rsid w:val="001C3D56"/>
    <w:rsid w:val="001E3F86"/>
    <w:rsid w:val="00271E4A"/>
    <w:rsid w:val="00277217"/>
    <w:rsid w:val="00281734"/>
    <w:rsid w:val="002830A9"/>
    <w:rsid w:val="002902E2"/>
    <w:rsid w:val="002C1397"/>
    <w:rsid w:val="002D2215"/>
    <w:rsid w:val="002E7ADF"/>
    <w:rsid w:val="0030251E"/>
    <w:rsid w:val="003321E6"/>
    <w:rsid w:val="00386B81"/>
    <w:rsid w:val="00387BF4"/>
    <w:rsid w:val="003A202A"/>
    <w:rsid w:val="003B41CB"/>
    <w:rsid w:val="003B4CDD"/>
    <w:rsid w:val="003E4547"/>
    <w:rsid w:val="003F211F"/>
    <w:rsid w:val="003F69C3"/>
    <w:rsid w:val="00412E36"/>
    <w:rsid w:val="004269F9"/>
    <w:rsid w:val="00445AF9"/>
    <w:rsid w:val="004863C0"/>
    <w:rsid w:val="00487F04"/>
    <w:rsid w:val="004918B2"/>
    <w:rsid w:val="004A47A3"/>
    <w:rsid w:val="00503C6A"/>
    <w:rsid w:val="00506CFD"/>
    <w:rsid w:val="00507AAB"/>
    <w:rsid w:val="00510873"/>
    <w:rsid w:val="00517BDD"/>
    <w:rsid w:val="00521E47"/>
    <w:rsid w:val="00532F58"/>
    <w:rsid w:val="00557465"/>
    <w:rsid w:val="005635CE"/>
    <w:rsid w:val="00577931"/>
    <w:rsid w:val="00592A9F"/>
    <w:rsid w:val="00597B2B"/>
    <w:rsid w:val="005A2E40"/>
    <w:rsid w:val="005B6A8B"/>
    <w:rsid w:val="005D0A99"/>
    <w:rsid w:val="005F06D7"/>
    <w:rsid w:val="006214DB"/>
    <w:rsid w:val="00630100"/>
    <w:rsid w:val="00656544"/>
    <w:rsid w:val="00667EC5"/>
    <w:rsid w:val="00670DDE"/>
    <w:rsid w:val="006C0CC1"/>
    <w:rsid w:val="006C34A8"/>
    <w:rsid w:val="006D3003"/>
    <w:rsid w:val="006F35E4"/>
    <w:rsid w:val="00726E2C"/>
    <w:rsid w:val="00736430"/>
    <w:rsid w:val="007446A1"/>
    <w:rsid w:val="00767EE3"/>
    <w:rsid w:val="00785DE8"/>
    <w:rsid w:val="007969F9"/>
    <w:rsid w:val="007A0568"/>
    <w:rsid w:val="007B7E21"/>
    <w:rsid w:val="007C6D68"/>
    <w:rsid w:val="007D0EE9"/>
    <w:rsid w:val="007E6B90"/>
    <w:rsid w:val="00803A4F"/>
    <w:rsid w:val="00817318"/>
    <w:rsid w:val="00854DF8"/>
    <w:rsid w:val="0086126F"/>
    <w:rsid w:val="0086772F"/>
    <w:rsid w:val="0088522B"/>
    <w:rsid w:val="008A7418"/>
    <w:rsid w:val="008C2248"/>
    <w:rsid w:val="008D0C4E"/>
    <w:rsid w:val="0090202B"/>
    <w:rsid w:val="0090529A"/>
    <w:rsid w:val="00933365"/>
    <w:rsid w:val="00945EED"/>
    <w:rsid w:val="00961C38"/>
    <w:rsid w:val="009779B6"/>
    <w:rsid w:val="0098392A"/>
    <w:rsid w:val="00985974"/>
    <w:rsid w:val="00990C94"/>
    <w:rsid w:val="00992484"/>
    <w:rsid w:val="00993F66"/>
    <w:rsid w:val="009941D1"/>
    <w:rsid w:val="009F1AD0"/>
    <w:rsid w:val="00A02D7F"/>
    <w:rsid w:val="00A24928"/>
    <w:rsid w:val="00A50E15"/>
    <w:rsid w:val="00A70930"/>
    <w:rsid w:val="00A91ED8"/>
    <w:rsid w:val="00A9628D"/>
    <w:rsid w:val="00AD7E93"/>
    <w:rsid w:val="00B01CCD"/>
    <w:rsid w:val="00B1067A"/>
    <w:rsid w:val="00B44073"/>
    <w:rsid w:val="00B4600E"/>
    <w:rsid w:val="00B71019"/>
    <w:rsid w:val="00B74F6C"/>
    <w:rsid w:val="00B867C2"/>
    <w:rsid w:val="00BB6094"/>
    <w:rsid w:val="00BC6335"/>
    <w:rsid w:val="00BE7EB2"/>
    <w:rsid w:val="00C3062B"/>
    <w:rsid w:val="00C30F9C"/>
    <w:rsid w:val="00C64661"/>
    <w:rsid w:val="00C71A63"/>
    <w:rsid w:val="00CB4616"/>
    <w:rsid w:val="00CC247F"/>
    <w:rsid w:val="00CC33DF"/>
    <w:rsid w:val="00CE1B88"/>
    <w:rsid w:val="00CF50A1"/>
    <w:rsid w:val="00D05037"/>
    <w:rsid w:val="00D14B18"/>
    <w:rsid w:val="00D340D0"/>
    <w:rsid w:val="00D365DC"/>
    <w:rsid w:val="00D65E92"/>
    <w:rsid w:val="00D764F7"/>
    <w:rsid w:val="00D93AD7"/>
    <w:rsid w:val="00D94F80"/>
    <w:rsid w:val="00D9629B"/>
    <w:rsid w:val="00DA4839"/>
    <w:rsid w:val="00DD0B69"/>
    <w:rsid w:val="00DE5477"/>
    <w:rsid w:val="00E179C1"/>
    <w:rsid w:val="00E238EF"/>
    <w:rsid w:val="00E9051B"/>
    <w:rsid w:val="00EC3A7D"/>
    <w:rsid w:val="00F1095C"/>
    <w:rsid w:val="00F31DA5"/>
    <w:rsid w:val="00F342D6"/>
    <w:rsid w:val="00F412EB"/>
    <w:rsid w:val="00F66800"/>
    <w:rsid w:val="00F83FE6"/>
    <w:rsid w:val="00F86C8C"/>
    <w:rsid w:val="00FC10C3"/>
    <w:rsid w:val="00FC1957"/>
    <w:rsid w:val="00FF7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098F0-BA07-4848-99E1-F31F2E8E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81734"/>
    <w:pPr>
      <w:keepNext/>
      <w:spacing w:after="0" w:line="240" w:lineRule="auto"/>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F50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F50A1"/>
    <w:rPr>
      <w:b/>
      <w:bCs/>
    </w:rPr>
  </w:style>
  <w:style w:type="character" w:styleId="Zdraznn">
    <w:name w:val="Emphasis"/>
    <w:basedOn w:val="Standardnpsmoodstavce"/>
    <w:uiPriority w:val="20"/>
    <w:qFormat/>
    <w:rsid w:val="00CF50A1"/>
    <w:rPr>
      <w:i/>
      <w:iCs/>
    </w:rPr>
  </w:style>
  <w:style w:type="character" w:styleId="Hypertextovodkaz">
    <w:name w:val="Hyperlink"/>
    <w:basedOn w:val="Standardnpsmoodstavce"/>
    <w:unhideWhenUsed/>
    <w:rsid w:val="00CF50A1"/>
    <w:rPr>
      <w:color w:val="0000FF"/>
      <w:u w:val="single"/>
    </w:rPr>
  </w:style>
  <w:style w:type="table" w:styleId="Mkatabulky">
    <w:name w:val="Table Grid"/>
    <w:basedOn w:val="Normlntabulka"/>
    <w:uiPriority w:val="39"/>
    <w:rsid w:val="006C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C0C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0CC1"/>
  </w:style>
  <w:style w:type="paragraph" w:styleId="Zpat">
    <w:name w:val="footer"/>
    <w:basedOn w:val="Normln"/>
    <w:link w:val="ZpatChar"/>
    <w:uiPriority w:val="99"/>
    <w:unhideWhenUsed/>
    <w:rsid w:val="006C0CC1"/>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CC1"/>
  </w:style>
  <w:style w:type="character" w:customStyle="1" w:styleId="markedcontent">
    <w:name w:val="markedcontent"/>
    <w:basedOn w:val="Standardnpsmoodstavce"/>
    <w:rsid w:val="008D0C4E"/>
  </w:style>
  <w:style w:type="character" w:customStyle="1" w:styleId="Nadpis1Char">
    <w:name w:val="Nadpis 1 Char"/>
    <w:basedOn w:val="Standardnpsmoodstavce"/>
    <w:link w:val="Nadpis1"/>
    <w:rsid w:val="0028173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281734"/>
    <w:pPr>
      <w:spacing w:after="0" w:line="240" w:lineRule="auto"/>
      <w:ind w:left="142"/>
    </w:pPr>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Zkladntextodsazen"/>
    <w:rsid w:val="00281734"/>
    <w:rPr>
      <w:rFonts w:ascii="Times New Roman" w:eastAsia="Times New Roman" w:hAnsi="Times New Roman" w:cs="Times New Roman"/>
      <w:b/>
      <w:sz w:val="24"/>
      <w:szCs w:val="20"/>
      <w:lang w:eastAsia="cs-CZ"/>
    </w:rPr>
  </w:style>
  <w:style w:type="paragraph" w:styleId="Odstavecseseznamem">
    <w:name w:val="List Paragraph"/>
    <w:basedOn w:val="Normln"/>
    <w:qFormat/>
    <w:rsid w:val="00281734"/>
    <w:pPr>
      <w:spacing w:after="0" w:line="240" w:lineRule="auto"/>
      <w:ind w:left="720"/>
    </w:pPr>
    <w:rPr>
      <w:rFonts w:ascii="Calibri" w:eastAsia="Calibri" w:hAnsi="Calibri" w:cs="Times New Roman"/>
      <w:lang w:eastAsia="cs-CZ"/>
    </w:rPr>
  </w:style>
  <w:style w:type="paragraph" w:customStyle="1" w:styleId="Normln1">
    <w:name w:val="Normální1"/>
    <w:basedOn w:val="Normln"/>
    <w:rsid w:val="00281734"/>
    <w:pPr>
      <w:snapToGrid w:val="0"/>
      <w:spacing w:after="0" w:line="240" w:lineRule="auto"/>
    </w:pPr>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74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418"/>
    <w:rPr>
      <w:rFonts w:ascii="Segoe UI" w:hAnsi="Segoe UI" w:cs="Segoe UI"/>
      <w:sz w:val="18"/>
      <w:szCs w:val="18"/>
    </w:rPr>
  </w:style>
  <w:style w:type="paragraph" w:customStyle="1" w:styleId="Default">
    <w:name w:val="Default"/>
    <w:rsid w:val="000309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3341">
      <w:bodyDiv w:val="1"/>
      <w:marLeft w:val="0"/>
      <w:marRight w:val="0"/>
      <w:marTop w:val="0"/>
      <w:marBottom w:val="0"/>
      <w:divBdr>
        <w:top w:val="none" w:sz="0" w:space="0" w:color="auto"/>
        <w:left w:val="none" w:sz="0" w:space="0" w:color="auto"/>
        <w:bottom w:val="none" w:sz="0" w:space="0" w:color="auto"/>
        <w:right w:val="none" w:sz="0" w:space="0" w:color="auto"/>
      </w:divBdr>
      <w:divsChild>
        <w:div w:id="197817686">
          <w:marLeft w:val="0"/>
          <w:marRight w:val="0"/>
          <w:marTop w:val="0"/>
          <w:marBottom w:val="0"/>
          <w:divBdr>
            <w:top w:val="dotted" w:sz="6" w:space="6" w:color="808080"/>
            <w:left w:val="dotted" w:sz="6" w:space="6" w:color="808080"/>
            <w:bottom w:val="dotted" w:sz="6" w:space="0" w:color="808080"/>
            <w:right w:val="dotted" w:sz="6" w:space="0" w:color="808080"/>
          </w:divBdr>
        </w:div>
        <w:div w:id="254242704">
          <w:marLeft w:val="0"/>
          <w:marRight w:val="0"/>
          <w:marTop w:val="0"/>
          <w:marBottom w:val="0"/>
          <w:divBdr>
            <w:top w:val="dotted" w:sz="6" w:space="6" w:color="808080"/>
            <w:left w:val="dotted" w:sz="6" w:space="6" w:color="808080"/>
            <w:bottom w:val="dotted" w:sz="6" w:space="0" w:color="808080"/>
            <w:right w:val="dotted" w:sz="6" w:space="0" w:color="808080"/>
          </w:divBdr>
        </w:div>
        <w:div w:id="393312151">
          <w:marLeft w:val="0"/>
          <w:marRight w:val="0"/>
          <w:marTop w:val="0"/>
          <w:marBottom w:val="0"/>
          <w:divBdr>
            <w:top w:val="dotted" w:sz="6" w:space="6" w:color="808080"/>
            <w:left w:val="dotted" w:sz="6" w:space="6" w:color="808080"/>
            <w:bottom w:val="dotted" w:sz="6" w:space="0" w:color="808080"/>
            <w:right w:val="dotted" w:sz="6" w:space="0" w:color="808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wood-pap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Hlaváčová</dc:creator>
  <cp:keywords/>
  <dc:description/>
  <cp:lastModifiedBy>David Janásek</cp:lastModifiedBy>
  <cp:revision>1</cp:revision>
  <cp:lastPrinted>2024-07-09T09:39:00Z</cp:lastPrinted>
  <dcterms:created xsi:type="dcterms:W3CDTF">2024-11-28T09:48:00Z</dcterms:created>
  <dcterms:modified xsi:type="dcterms:W3CDTF">2025-01-27T08:16:00Z</dcterms:modified>
</cp:coreProperties>
</file>