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1249900037</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42"/>
        </w:rPr>
      </w:pPr>
    </w:p>
    <w:p>
      <w:pPr>
        <w:pStyle w:val="BodyText"/>
        <w:spacing w:before="11"/>
        <w:ind w:left="0"/>
        <w:rPr>
          <w:sz w:val="37"/>
        </w:rPr>
      </w:pPr>
    </w:p>
    <w:p>
      <w:pPr>
        <w:pStyle w:val="BodyText"/>
        <w:ind w:left="242"/>
      </w:pPr>
      <w:r>
        <w:rPr/>
        <w:t>Smluvní</w:t>
      </w:r>
      <w:r>
        <w:rPr>
          <w:spacing w:val="-12"/>
        </w:rPr>
        <w:t> </w:t>
      </w:r>
      <w:r>
        <w:rPr>
          <w:spacing w:val="-2"/>
        </w:rPr>
        <w:t>strany</w:t>
      </w:r>
    </w:p>
    <w:p>
      <w:pPr>
        <w:pStyle w:val="BodyText"/>
        <w:ind w:left="0"/>
        <w:rPr>
          <w:sz w:val="26"/>
        </w:rPr>
      </w:pPr>
    </w:p>
    <w:p>
      <w:pPr>
        <w:pStyle w:val="Heading2"/>
        <w:spacing w:line="265" w:lineRule="exact" w:before="188"/>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ind w:left="242"/>
      </w:pPr>
      <w:r>
        <w:rPr>
          <w:spacing w:val="-4"/>
        </w:rPr>
        <w:t>IČO:</w:t>
      </w:r>
      <w:r>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242" w:right="8005"/>
      </w:pPr>
      <w:r>
        <w:rPr/>
        <w:t>(dále</w:t>
      </w:r>
      <w:r>
        <w:rPr>
          <w:spacing w:val="-14"/>
        </w:rPr>
        <w:t> </w:t>
      </w:r>
      <w:r>
        <w:rPr/>
        <w:t>jen</w:t>
      </w:r>
      <w:r>
        <w:rPr>
          <w:spacing w:val="-14"/>
        </w:rPr>
        <w:t> </w:t>
      </w:r>
      <w:r>
        <w:rPr/>
        <w:t>„Fond") </w:t>
      </w:r>
      <w:r>
        <w:rPr>
          <w:spacing w:val="-10"/>
        </w:rPr>
        <w:t>a</w:t>
      </w:r>
    </w:p>
    <w:p>
      <w:pPr>
        <w:pStyle w:val="Heading2"/>
        <w:spacing w:before="1"/>
        <w:ind w:left="242"/>
        <w:jc w:val="left"/>
      </w:pPr>
      <w:r>
        <w:rPr/>
        <w:t>město</w:t>
      </w:r>
      <w:r>
        <w:rPr>
          <w:spacing w:val="-7"/>
        </w:rPr>
        <w:t> </w:t>
      </w:r>
      <w:r>
        <w:rPr>
          <w:spacing w:val="-2"/>
        </w:rPr>
        <w:t>Kaplice</w:t>
      </w:r>
    </w:p>
    <w:p>
      <w:pPr>
        <w:pStyle w:val="BodyText"/>
        <w:tabs>
          <w:tab w:pos="3122" w:val="left" w:leader="none"/>
        </w:tabs>
        <w:ind w:left="242"/>
      </w:pPr>
      <w:r>
        <w:rPr/>
        <w:t>kontaktní</w:t>
      </w:r>
      <w:r>
        <w:rPr>
          <w:spacing w:val="-11"/>
        </w:rPr>
        <w:t> </w:t>
      </w:r>
      <w:r>
        <w:rPr>
          <w:spacing w:val="-2"/>
        </w:rPr>
        <w:t>adresa:</w:t>
      </w:r>
      <w:r>
        <w:rPr/>
        <w:tab/>
        <w:t>Městský</w:t>
      </w:r>
      <w:r>
        <w:rPr>
          <w:spacing w:val="-6"/>
        </w:rPr>
        <w:t> </w:t>
      </w:r>
      <w:r>
        <w:rPr/>
        <w:t>úřad</w:t>
      </w:r>
      <w:r>
        <w:rPr>
          <w:spacing w:val="-6"/>
        </w:rPr>
        <w:t> </w:t>
      </w:r>
      <w:r>
        <w:rPr/>
        <w:t>Kaplice,</w:t>
      </w:r>
      <w:r>
        <w:rPr>
          <w:spacing w:val="-5"/>
        </w:rPr>
        <w:t> </w:t>
      </w:r>
      <w:r>
        <w:rPr/>
        <w:t>Náměstí</w:t>
      </w:r>
      <w:r>
        <w:rPr>
          <w:spacing w:val="-5"/>
        </w:rPr>
        <w:t> </w:t>
      </w:r>
      <w:r>
        <w:rPr/>
        <w:t>70,</w:t>
      </w:r>
      <w:r>
        <w:rPr>
          <w:spacing w:val="-6"/>
        </w:rPr>
        <w:t> </w:t>
      </w:r>
      <w:r>
        <w:rPr/>
        <w:t>382</w:t>
      </w:r>
      <w:r>
        <w:rPr>
          <w:spacing w:val="-4"/>
        </w:rPr>
        <w:t> </w:t>
      </w:r>
      <w:r>
        <w:rPr/>
        <w:t>41</w:t>
      </w:r>
      <w:r>
        <w:rPr>
          <w:spacing w:val="-5"/>
        </w:rPr>
        <w:t> </w:t>
      </w:r>
      <w:r>
        <w:rPr>
          <w:spacing w:val="-2"/>
        </w:rPr>
        <w:t>Kaplice</w:t>
      </w:r>
    </w:p>
    <w:p>
      <w:pPr>
        <w:pStyle w:val="BodyText"/>
        <w:tabs>
          <w:tab w:pos="3122" w:val="left" w:leader="none"/>
        </w:tabs>
        <w:spacing w:line="265" w:lineRule="exact" w:before="1"/>
        <w:ind w:left="242"/>
      </w:pPr>
      <w:r>
        <w:rPr>
          <w:spacing w:val="-4"/>
        </w:rPr>
        <w:t>IČO:</w:t>
      </w:r>
      <w:r>
        <w:rPr/>
        <w:tab/>
      </w:r>
      <w:r>
        <w:rPr>
          <w:spacing w:val="-2"/>
        </w:rPr>
        <w:t>00245941</w:t>
      </w:r>
    </w:p>
    <w:p>
      <w:pPr>
        <w:pStyle w:val="BodyText"/>
        <w:tabs>
          <w:tab w:pos="3122" w:val="left" w:leader="none"/>
        </w:tabs>
        <w:spacing w:line="265" w:lineRule="exact"/>
        <w:ind w:left="242"/>
      </w:pPr>
      <w:r>
        <w:rPr>
          <w:spacing w:val="-2"/>
        </w:rPr>
        <w:t>zastoupené:</w:t>
      </w:r>
      <w:r>
        <w:rPr/>
        <w:tab/>
        <w:t>Mgr.</w:t>
      </w:r>
      <w:r>
        <w:rPr>
          <w:spacing w:val="-2"/>
        </w:rPr>
        <w:t> </w:t>
      </w:r>
      <w:r>
        <w:rPr/>
        <w:t>Liborem</w:t>
      </w:r>
      <w:r>
        <w:rPr>
          <w:spacing w:val="-1"/>
        </w:rPr>
        <w:t> </w:t>
      </w:r>
      <w:r>
        <w:rPr/>
        <w:t>L</w:t>
      </w:r>
      <w:r>
        <w:rPr>
          <w:spacing w:val="-3"/>
        </w:rPr>
        <w:t> </w:t>
      </w:r>
      <w:r>
        <w:rPr/>
        <w:t>u</w:t>
      </w:r>
      <w:r>
        <w:rPr>
          <w:spacing w:val="-2"/>
        </w:rPr>
        <w:t> </w:t>
      </w:r>
      <w:r>
        <w:rPr/>
        <w:t>k</w:t>
      </w:r>
      <w:r>
        <w:rPr>
          <w:spacing w:val="-3"/>
        </w:rPr>
        <w:t> </w:t>
      </w:r>
      <w:r>
        <w:rPr/>
        <w:t>š</w:t>
      </w:r>
      <w:r>
        <w:rPr>
          <w:spacing w:val="-3"/>
        </w:rPr>
        <w:t> </w:t>
      </w:r>
      <w:r>
        <w:rPr/>
        <w:t>e</w:t>
      </w:r>
      <w:r>
        <w:rPr>
          <w:spacing w:val="-4"/>
        </w:rPr>
        <w:t> </w:t>
      </w:r>
      <w:r>
        <w:rPr/>
        <w:t>m,</w:t>
      </w:r>
      <w:r>
        <w:rPr>
          <w:spacing w:val="-3"/>
        </w:rPr>
        <w:t> </w:t>
      </w:r>
      <w:r>
        <w:rPr>
          <w:spacing w:val="-2"/>
        </w:rPr>
        <w:t>starostou</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pPr>
      <w:r>
        <w:rPr/>
        <w:t>číslo</w:t>
      </w:r>
      <w:r>
        <w:rPr>
          <w:spacing w:val="-8"/>
        </w:rPr>
        <w:t> </w:t>
      </w:r>
      <w:r>
        <w:rPr>
          <w:spacing w:val="-2"/>
        </w:rPr>
        <w:t>účtu:</w:t>
      </w:r>
      <w:r>
        <w:rPr/>
        <w:tab/>
      </w:r>
      <w:r>
        <w:rPr>
          <w:w w:val="95"/>
        </w:rPr>
        <w:t>94-</w:t>
      </w:r>
      <w:r>
        <w:rPr>
          <w:spacing w:val="-2"/>
        </w:rPr>
        <w:t>3115241/0710</w:t>
      </w:r>
    </w:p>
    <w:p>
      <w:pPr>
        <w:pStyle w:val="BodyText"/>
        <w:ind w:left="242"/>
      </w:pPr>
      <w:r>
        <w:rPr/>
        <w:t>(dále</w:t>
      </w:r>
      <w:r>
        <w:rPr>
          <w:spacing w:val="-7"/>
        </w:rPr>
        <w:t> </w:t>
      </w:r>
      <w:r>
        <w:rPr/>
        <w:t>jen</w:t>
      </w:r>
      <w:r>
        <w:rPr>
          <w:spacing w:val="-5"/>
        </w:rPr>
        <w:t> </w:t>
      </w:r>
      <w:r>
        <w:rPr/>
        <w:t>„příjemce</w:t>
      </w:r>
      <w:r>
        <w:rPr>
          <w:spacing w:val="-7"/>
        </w:rPr>
        <w:t> </w:t>
      </w:r>
      <w:r>
        <w:rPr>
          <w:spacing w:val="-2"/>
        </w:rPr>
        <w:t>podpory")</w:t>
      </w:r>
    </w:p>
    <w:p>
      <w:pPr>
        <w:pStyle w:val="BodyText"/>
        <w:ind w:left="0"/>
        <w:rPr>
          <w:sz w:val="26"/>
        </w:rPr>
      </w:pPr>
    </w:p>
    <w:p>
      <w:pPr>
        <w:pStyle w:val="BodyText"/>
        <w:spacing w:before="12"/>
        <w:ind w:left="0"/>
        <w:rPr>
          <w:sz w:val="33"/>
        </w:rPr>
      </w:pPr>
    </w:p>
    <w:p>
      <w:pPr>
        <w:pStyle w:val="BodyText"/>
        <w:spacing w:before="1"/>
        <w:ind w:left="242"/>
      </w:pPr>
      <w:r>
        <w:rPr/>
        <w:t>se</w:t>
      </w:r>
      <w:r>
        <w:rPr>
          <w:spacing w:val="-7"/>
        </w:rPr>
        <w:t> </w:t>
      </w:r>
      <w:r>
        <w:rPr/>
        <w:t>dohodly</w:t>
      </w:r>
      <w:r>
        <w:rPr>
          <w:spacing w:val="-6"/>
        </w:rPr>
        <w:t> </w:t>
      </w:r>
      <w:r>
        <w:rPr>
          <w:spacing w:val="-2"/>
        </w:rPr>
        <w:t>takto:</w:t>
      </w:r>
    </w:p>
    <w:p>
      <w:pPr>
        <w:pStyle w:val="BodyText"/>
        <w:spacing w:before="1"/>
        <w:ind w:left="0"/>
        <w:rPr>
          <w:sz w:val="36"/>
        </w:rPr>
      </w:pPr>
    </w:p>
    <w:p>
      <w:pPr>
        <w:pStyle w:val="Heading1"/>
      </w:pPr>
      <w:r>
        <w:rPr>
          <w:spacing w:val="-5"/>
        </w:rPr>
        <w:t>I.</w:t>
      </w:r>
    </w:p>
    <w:p>
      <w:pPr>
        <w:pStyle w:val="Heading2"/>
        <w:spacing w:before="1"/>
        <w:ind w:right="1061"/>
      </w:pPr>
      <w:r>
        <w:rPr/>
        <w:t>Předmět</w:t>
      </w:r>
      <w:r>
        <w:rPr>
          <w:spacing w:val="-6"/>
        </w:rPr>
        <w:t> </w:t>
      </w:r>
      <w:r>
        <w:rPr/>
        <w:t>a</w:t>
      </w:r>
      <w:r>
        <w:rPr>
          <w:spacing w:val="-5"/>
        </w:rPr>
        <w:t> </w:t>
      </w:r>
      <w:r>
        <w:rPr/>
        <w:t>účel</w:t>
      </w:r>
      <w:r>
        <w:rPr>
          <w:spacing w:val="-4"/>
        </w:rPr>
        <w:t> </w:t>
      </w:r>
      <w:r>
        <w:rPr>
          <w:spacing w:val="-2"/>
        </w:rPr>
        <w:t>smlouvy</w:t>
      </w:r>
    </w:p>
    <w:p>
      <w:pPr>
        <w:pStyle w:val="BodyText"/>
        <w:ind w:left="0"/>
        <w:rPr>
          <w:b/>
          <w:sz w:val="18"/>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1"/>
        <w:jc w:val="both"/>
      </w:pPr>
      <w:r>
        <w:rPr/>
        <w:t>„Smlouva“) se uzavírá na základě Rozhodnutí ministra životního prostředí č. 1249900037 o poskytnutí finančních</w:t>
      </w:r>
      <w:r>
        <w:rPr>
          <w:spacing w:val="-13"/>
        </w:rPr>
        <w:t> </w:t>
      </w:r>
      <w:r>
        <w:rPr/>
        <w:t>prostředků</w:t>
      </w:r>
      <w:r>
        <w:rPr>
          <w:spacing w:val="-11"/>
        </w:rPr>
        <w:t> </w:t>
      </w:r>
      <w:r>
        <w:rPr/>
        <w:t>ze</w:t>
      </w:r>
      <w:r>
        <w:rPr>
          <w:spacing w:val="-14"/>
        </w:rPr>
        <w:t> </w:t>
      </w:r>
      <w:r>
        <w:rPr/>
        <w:t>Státního</w:t>
      </w:r>
      <w:r>
        <w:rPr>
          <w:spacing w:val="-12"/>
        </w:rPr>
        <w:t> </w:t>
      </w:r>
      <w:r>
        <w:rPr/>
        <w:t>fondu</w:t>
      </w:r>
      <w:r>
        <w:rPr>
          <w:spacing w:val="-13"/>
        </w:rPr>
        <w:t> </w:t>
      </w:r>
      <w:r>
        <w:rPr/>
        <w:t>životního</w:t>
      </w:r>
      <w:r>
        <w:rPr>
          <w:spacing w:val="-12"/>
        </w:rPr>
        <w:t> </w:t>
      </w:r>
      <w:r>
        <w:rPr/>
        <w:t>prostředí</w:t>
      </w:r>
      <w:r>
        <w:rPr>
          <w:spacing w:val="-10"/>
        </w:rPr>
        <w:t> </w:t>
      </w:r>
      <w:r>
        <w:rPr/>
        <w:t>ČR</w:t>
      </w:r>
      <w:r>
        <w:rPr>
          <w:spacing w:val="-12"/>
        </w:rPr>
        <w:t> </w:t>
      </w:r>
      <w:r>
        <w:rPr/>
        <w:t>ze</w:t>
      </w:r>
      <w:r>
        <w:rPr>
          <w:spacing w:val="-11"/>
        </w:rPr>
        <w:t> </w:t>
      </w:r>
      <w:r>
        <w:rPr/>
        <w:t>dne</w:t>
      </w:r>
      <w:r>
        <w:rPr>
          <w:spacing w:val="-6"/>
        </w:rPr>
        <w:t> </w:t>
      </w:r>
      <w:r>
        <w:rPr/>
        <w:t>8.</w:t>
      </w:r>
      <w:r>
        <w:rPr>
          <w:spacing w:val="-3"/>
        </w:rPr>
        <w:t> </w:t>
      </w:r>
      <w:r>
        <w:rPr/>
        <w:t>1.</w:t>
      </w:r>
      <w:r>
        <w:rPr>
          <w:spacing w:val="-3"/>
        </w:rPr>
        <w:t> </w:t>
      </w:r>
      <w:r>
        <w:rPr/>
        <w:t>2025</w:t>
      </w:r>
      <w:r>
        <w:rPr>
          <w:spacing w:val="-12"/>
        </w:rPr>
        <w:t> </w:t>
      </w:r>
      <w:r>
        <w:rPr/>
        <w:t>a</w:t>
      </w:r>
      <w:r>
        <w:rPr>
          <w:spacing w:val="-11"/>
        </w:rPr>
        <w:t> </w:t>
      </w:r>
      <w:r>
        <w:rPr/>
        <w:t>Směrnice</w:t>
      </w:r>
      <w:r>
        <w:rPr>
          <w:spacing w:val="-14"/>
        </w:rPr>
        <w:t> </w:t>
      </w:r>
      <w:r>
        <w:rPr/>
        <w:t>Ministerstva životního</w:t>
      </w:r>
      <w:r>
        <w:rPr>
          <w:spacing w:val="-4"/>
        </w:rPr>
        <w:t> </w:t>
      </w:r>
      <w:r>
        <w:rPr/>
        <w:t>prostředí</w:t>
      </w:r>
      <w:r>
        <w:rPr>
          <w:spacing w:val="-1"/>
        </w:rPr>
        <w:t> </w:t>
      </w:r>
      <w:r>
        <w:rPr/>
        <w:t>č.</w:t>
      </w:r>
      <w:r>
        <w:rPr>
          <w:spacing w:val="-4"/>
        </w:rPr>
        <w:t> </w:t>
      </w:r>
      <w:r>
        <w:rPr/>
        <w:t>6/2024</w:t>
      </w:r>
      <w:r>
        <w:rPr>
          <w:spacing w:val="-3"/>
        </w:rPr>
        <w:t> </w:t>
      </w:r>
      <w:r>
        <w:rPr/>
        <w:t>o</w:t>
      </w:r>
      <w:r>
        <w:rPr>
          <w:spacing w:val="-4"/>
        </w:rPr>
        <w:t> </w:t>
      </w:r>
      <w:r>
        <w:rPr/>
        <w:t>poskytování</w:t>
      </w:r>
      <w:r>
        <w:rPr>
          <w:spacing w:val="-5"/>
        </w:rPr>
        <w:t> </w:t>
      </w:r>
      <w:r>
        <w:rPr/>
        <w:t>finančních</w:t>
      </w:r>
      <w:r>
        <w:rPr>
          <w:spacing w:val="-4"/>
        </w:rPr>
        <w:t> </w:t>
      </w:r>
      <w:r>
        <w:rPr/>
        <w:t>prostředků</w:t>
      </w:r>
      <w:r>
        <w:rPr>
          <w:spacing w:val="-4"/>
        </w:rPr>
        <w:t> </w:t>
      </w:r>
      <w:r>
        <w:rPr/>
        <w:t>ze</w:t>
      </w:r>
      <w:r>
        <w:rPr>
          <w:spacing w:val="-5"/>
        </w:rPr>
        <w:t> </w:t>
      </w:r>
      <w:r>
        <w:rPr/>
        <w:t>Státního</w:t>
      </w:r>
      <w:r>
        <w:rPr>
          <w:spacing w:val="-4"/>
        </w:rPr>
        <w:t> </w:t>
      </w:r>
      <w:r>
        <w:rPr/>
        <w:t>fondu</w:t>
      </w:r>
      <w:r>
        <w:rPr>
          <w:spacing w:val="-4"/>
        </w:rPr>
        <w:t> </w:t>
      </w:r>
      <w:r>
        <w:rPr/>
        <w:t>životního</w:t>
      </w:r>
      <w:r>
        <w:rPr>
          <w:spacing w:val="-4"/>
        </w:rPr>
        <w:t> </w:t>
      </w:r>
      <w:r>
        <w:rPr/>
        <w:t>prostředí České republiky prostřednictvím Národního programu Životní prostředí (dále jen „Směrnice MŽP“), platné ke dni podání 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8"/>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w:t>
      </w:r>
    </w:p>
    <w:p>
      <w:pPr>
        <w:spacing w:after="0" w:line="240" w:lineRule="auto"/>
        <w:jc w:val="both"/>
        <w:rPr>
          <w:sz w:val="20"/>
        </w:rPr>
        <w:sectPr>
          <w:footerReference w:type="default" r:id="rId5"/>
          <w:type w:val="continuous"/>
          <w:pgSz w:w="12240" w:h="15840"/>
          <w:pgMar w:footer="1434" w:header="0" w:top="1480" w:bottom="1620" w:left="1460" w:right="1020"/>
          <w:pgNumType w:start="1"/>
        </w:sectPr>
      </w:pPr>
    </w:p>
    <w:p>
      <w:pPr>
        <w:pStyle w:val="BodyText"/>
        <w:spacing w:before="73"/>
        <w:ind w:right="110"/>
        <w:jc w:val="both"/>
      </w:pPr>
      <w:r>
        <w:rPr/>
        <w:t>(mimořádné dotační opatření k řešení následků povodní proběhlých po 12. 9. 2024 na území České republiky)</w:t>
      </w:r>
      <w:r>
        <w:rPr>
          <w:spacing w:val="23"/>
        </w:rPr>
        <w:t> </w:t>
      </w:r>
      <w:r>
        <w:rPr/>
        <w:t>(dále</w:t>
      </w:r>
      <w:r>
        <w:rPr>
          <w:spacing w:val="22"/>
        </w:rPr>
        <w:t> </w:t>
      </w:r>
      <w:r>
        <w:rPr/>
        <w:t>jen</w:t>
      </w:r>
      <w:r>
        <w:rPr>
          <w:spacing w:val="23"/>
        </w:rPr>
        <w:t> </w:t>
      </w:r>
      <w:r>
        <w:rPr/>
        <w:t>„Výzva“),</w:t>
      </w:r>
      <w:r>
        <w:rPr>
          <w:spacing w:val="23"/>
        </w:rPr>
        <w:t> </w:t>
      </w:r>
      <w:r>
        <w:rPr/>
        <w:t>a</w:t>
      </w:r>
      <w:r>
        <w:rPr>
          <w:spacing w:val="23"/>
        </w:rPr>
        <w:t> </w:t>
      </w:r>
      <w:r>
        <w:rPr/>
        <w:t>že</w:t>
      </w:r>
      <w:r>
        <w:rPr>
          <w:spacing w:val="22"/>
        </w:rPr>
        <w:t> </w:t>
      </w:r>
      <w:r>
        <w:rPr/>
        <w:t>náležitosti</w:t>
      </w:r>
      <w:r>
        <w:rPr>
          <w:spacing w:val="23"/>
        </w:rPr>
        <w:t> </w:t>
      </w:r>
      <w:r>
        <w:rPr/>
        <w:t>akce</w:t>
      </w:r>
      <w:r>
        <w:rPr>
          <w:spacing w:val="22"/>
        </w:rPr>
        <w:t> </w:t>
      </w:r>
      <w:r>
        <w:rPr/>
        <w:t>odpovídají</w:t>
      </w:r>
      <w:r>
        <w:rPr>
          <w:spacing w:val="23"/>
        </w:rPr>
        <w:t> </w:t>
      </w:r>
      <w:r>
        <w:rPr/>
        <w:t>podmínkám</w:t>
      </w:r>
      <w:r>
        <w:rPr>
          <w:spacing w:val="24"/>
        </w:rPr>
        <w:t> </w:t>
      </w:r>
      <w:r>
        <w:rPr/>
        <w:t>stanoveným</w:t>
      </w:r>
      <w:r>
        <w:rPr>
          <w:spacing w:val="26"/>
        </w:rPr>
        <w:t> </w:t>
      </w:r>
      <w:r>
        <w:rPr/>
        <w:t>Směrnicí</w:t>
      </w:r>
      <w:r>
        <w:rPr>
          <w:spacing w:val="23"/>
        </w:rPr>
        <w:t> </w:t>
      </w:r>
      <w:r>
        <w:rPr/>
        <w:t>MŽP a Výzvou.</w:t>
      </w:r>
    </w:p>
    <w:p>
      <w:pPr>
        <w:pStyle w:val="ListParagraph"/>
        <w:numPr>
          <w:ilvl w:val="0"/>
          <w:numId w:val="1"/>
        </w:numPr>
        <w:tabs>
          <w:tab w:pos="526" w:val="left" w:leader="none"/>
        </w:tabs>
        <w:spacing w:line="240" w:lineRule="auto" w:before="121"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1686"/>
        <w:jc w:val="both"/>
      </w:pPr>
      <w:r>
        <w:rPr/>
        <w:t>„Kaplice</w:t>
      </w:r>
      <w:r>
        <w:rPr>
          <w:spacing w:val="-8"/>
        </w:rPr>
        <w:t> </w:t>
      </w:r>
      <w:r>
        <w:rPr/>
        <w:t>-</w:t>
      </w:r>
      <w:r>
        <w:rPr>
          <w:spacing w:val="-7"/>
        </w:rPr>
        <w:t> </w:t>
      </w:r>
      <w:r>
        <w:rPr/>
        <w:t>obnova</w:t>
      </w:r>
      <w:r>
        <w:rPr>
          <w:spacing w:val="-8"/>
        </w:rPr>
        <w:t> </w:t>
      </w:r>
      <w:r>
        <w:rPr/>
        <w:t>vodohospodářské</w:t>
      </w:r>
      <w:r>
        <w:rPr>
          <w:spacing w:val="-10"/>
        </w:rPr>
        <w:t> </w:t>
      </w:r>
      <w:r>
        <w:rPr/>
        <w:t>infrastruktury</w:t>
      </w:r>
      <w:r>
        <w:rPr>
          <w:spacing w:val="-8"/>
        </w:rPr>
        <w:t> </w:t>
      </w:r>
      <w:r>
        <w:rPr/>
        <w:t>po</w:t>
      </w:r>
      <w:r>
        <w:rPr>
          <w:spacing w:val="-8"/>
        </w:rPr>
        <w:t> </w:t>
      </w:r>
      <w:r>
        <w:rPr/>
        <w:t>povodni</w:t>
      </w:r>
      <w:r>
        <w:rPr>
          <w:spacing w:val="-8"/>
        </w:rPr>
        <w:t> </w:t>
      </w:r>
      <w:r>
        <w:rPr>
          <w:spacing w:val="-2"/>
        </w:rPr>
        <w:t>2024“</w:t>
      </w:r>
    </w:p>
    <w:p>
      <w:pPr>
        <w:pStyle w:val="BodyText"/>
        <w:spacing w:before="120"/>
        <w:ind w:left="601"/>
        <w:jc w:val="both"/>
      </w:pPr>
      <w:r>
        <w:rPr/>
        <w:t>(dále</w:t>
      </w:r>
      <w:r>
        <w:rPr>
          <w:spacing w:val="-7"/>
        </w:rPr>
        <w:t> </w:t>
      </w:r>
      <w:r>
        <w:rPr/>
        <w:t>jen</w:t>
      </w:r>
      <w:r>
        <w:rPr>
          <w:spacing w:val="-5"/>
        </w:rPr>
        <w:t> </w:t>
      </w:r>
      <w:r>
        <w:rPr/>
        <w:t>„projekt“</w:t>
      </w:r>
      <w:r>
        <w:rPr>
          <w:spacing w:val="-7"/>
        </w:rPr>
        <w:t> </w:t>
      </w:r>
      <w:r>
        <w:rPr/>
        <w:t>nebo</w:t>
      </w:r>
      <w:r>
        <w:rPr>
          <w:spacing w:val="-4"/>
        </w:rPr>
        <w:t> </w:t>
      </w:r>
      <w:r>
        <w:rPr/>
        <w:t>„akce“)</w:t>
      </w:r>
      <w:r>
        <w:rPr>
          <w:spacing w:val="-7"/>
        </w:rPr>
        <w:t> </w:t>
      </w:r>
      <w:r>
        <w:rPr/>
        <w:t>realizovanouv</w:t>
      </w:r>
      <w:r>
        <w:rPr>
          <w:spacing w:val="-1"/>
        </w:rPr>
        <w:t> </w:t>
      </w:r>
      <w:r>
        <w:rPr/>
        <w:t>letech</w:t>
      </w:r>
      <w:r>
        <w:rPr>
          <w:spacing w:val="-4"/>
        </w:rPr>
        <w:t> </w:t>
      </w:r>
      <w:r>
        <w:rPr/>
        <w:t>2024</w:t>
      </w:r>
      <w:r>
        <w:rPr>
          <w:spacing w:val="-5"/>
        </w:rPr>
        <w:t> </w:t>
      </w:r>
      <w:r>
        <w:rPr/>
        <w:t>až</w:t>
      </w:r>
      <w:r>
        <w:rPr>
          <w:spacing w:val="-5"/>
        </w:rPr>
        <w:t> </w:t>
      </w:r>
      <w:r>
        <w:rPr/>
        <w:t>2025</w:t>
      </w:r>
      <w:r>
        <w:rPr>
          <w:spacing w:val="-5"/>
        </w:rPr>
        <w:t> </w:t>
      </w:r>
      <w:r>
        <w:rPr>
          <w:spacing w:val="-10"/>
        </w:rPr>
        <w:t>.</w:t>
      </w:r>
    </w:p>
    <w:p>
      <w:pPr>
        <w:pStyle w:val="BodyText"/>
        <w:spacing w:before="12"/>
        <w:ind w:left="0"/>
        <w:rPr>
          <w:sz w:val="35"/>
        </w:rPr>
      </w:pPr>
    </w:p>
    <w:p>
      <w:pPr>
        <w:pStyle w:val="Heading1"/>
      </w:pPr>
      <w:r>
        <w:rPr>
          <w:spacing w:val="-5"/>
        </w:rPr>
        <w:t>II.</w:t>
      </w:r>
    </w:p>
    <w:p>
      <w:pPr>
        <w:pStyle w:val="Heading2"/>
        <w:spacing w:before="1"/>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40" w:lineRule="auto" w:before="0" w:after="0"/>
        <w:ind w:left="525" w:right="0" w:hanging="284"/>
        <w:jc w:val="both"/>
        <w:rPr>
          <w:sz w:val="20"/>
        </w:rPr>
      </w:pPr>
      <w:r>
        <w:rPr>
          <w:sz w:val="20"/>
        </w:rPr>
        <w:t>Fond</w:t>
      </w:r>
      <w:r>
        <w:rPr>
          <w:spacing w:val="12"/>
          <w:sz w:val="20"/>
        </w:rPr>
        <w:t> </w:t>
      </w:r>
      <w:r>
        <w:rPr>
          <w:sz w:val="20"/>
        </w:rPr>
        <w:t>se</w:t>
      </w:r>
      <w:r>
        <w:rPr>
          <w:spacing w:val="10"/>
          <w:sz w:val="20"/>
        </w:rPr>
        <w:t> </w:t>
      </w:r>
      <w:r>
        <w:rPr>
          <w:sz w:val="20"/>
        </w:rPr>
        <w:t>zavazuje</w:t>
      </w:r>
      <w:r>
        <w:rPr>
          <w:spacing w:val="10"/>
          <w:sz w:val="20"/>
        </w:rPr>
        <w:t> </w:t>
      </w:r>
      <w:r>
        <w:rPr>
          <w:sz w:val="20"/>
        </w:rPr>
        <w:t>poskytnout</w:t>
      </w:r>
      <w:r>
        <w:rPr>
          <w:spacing w:val="12"/>
          <w:sz w:val="20"/>
        </w:rPr>
        <w:t> </w:t>
      </w:r>
      <w:r>
        <w:rPr>
          <w:sz w:val="20"/>
        </w:rPr>
        <w:t>příjemci</w:t>
      </w:r>
      <w:r>
        <w:rPr>
          <w:spacing w:val="11"/>
          <w:sz w:val="20"/>
        </w:rPr>
        <w:t> </w:t>
      </w:r>
      <w:r>
        <w:rPr>
          <w:sz w:val="20"/>
        </w:rPr>
        <w:t>podpory</w:t>
      </w:r>
      <w:r>
        <w:rPr>
          <w:spacing w:val="12"/>
          <w:sz w:val="20"/>
        </w:rPr>
        <w:t> </w:t>
      </w:r>
      <w:r>
        <w:rPr>
          <w:sz w:val="20"/>
        </w:rPr>
        <w:t>podporu</w:t>
      </w:r>
      <w:r>
        <w:rPr>
          <w:spacing w:val="13"/>
          <w:sz w:val="20"/>
        </w:rPr>
        <w:t> </w:t>
      </w:r>
      <w:r>
        <w:rPr>
          <w:sz w:val="20"/>
        </w:rPr>
        <w:t>formou</w:t>
      </w:r>
      <w:r>
        <w:rPr>
          <w:spacing w:val="12"/>
          <w:sz w:val="20"/>
        </w:rPr>
        <w:t> </w:t>
      </w:r>
      <w:r>
        <w:rPr>
          <w:sz w:val="20"/>
        </w:rPr>
        <w:t>dotace</w:t>
      </w:r>
      <w:r>
        <w:rPr>
          <w:spacing w:val="13"/>
          <w:sz w:val="20"/>
        </w:rPr>
        <w:t> </w:t>
      </w:r>
      <w:r>
        <w:rPr>
          <w:sz w:val="20"/>
        </w:rPr>
        <w:t>ve</w:t>
      </w:r>
      <w:r>
        <w:rPr>
          <w:spacing w:val="11"/>
          <w:sz w:val="20"/>
        </w:rPr>
        <w:t> </w:t>
      </w:r>
      <w:r>
        <w:rPr>
          <w:sz w:val="20"/>
        </w:rPr>
        <w:t>výši</w:t>
      </w:r>
      <w:r>
        <w:rPr>
          <w:spacing w:val="18"/>
          <w:sz w:val="20"/>
        </w:rPr>
        <w:t> </w:t>
      </w:r>
      <w:r>
        <w:rPr>
          <w:b/>
          <w:sz w:val="20"/>
        </w:rPr>
        <w:t>493</w:t>
      </w:r>
      <w:r>
        <w:rPr>
          <w:b/>
          <w:spacing w:val="-3"/>
          <w:sz w:val="20"/>
        </w:rPr>
        <w:t> </w:t>
      </w:r>
      <w:r>
        <w:rPr>
          <w:b/>
          <w:sz w:val="20"/>
        </w:rPr>
        <w:t>437,96</w:t>
      </w:r>
      <w:r>
        <w:rPr>
          <w:b/>
          <w:spacing w:val="13"/>
          <w:sz w:val="20"/>
        </w:rPr>
        <w:t> </w:t>
      </w:r>
      <w:r>
        <w:rPr>
          <w:b/>
          <w:sz w:val="20"/>
        </w:rPr>
        <w:t>Kč</w:t>
      </w:r>
      <w:r>
        <w:rPr>
          <w:b/>
          <w:spacing w:val="13"/>
          <w:sz w:val="20"/>
        </w:rPr>
        <w:t> </w:t>
      </w:r>
      <w:r>
        <w:rPr>
          <w:spacing w:val="-2"/>
          <w:sz w:val="20"/>
        </w:rPr>
        <w:t>(slovy:</w:t>
      </w:r>
    </w:p>
    <w:p>
      <w:pPr>
        <w:pStyle w:val="BodyText"/>
        <w:jc w:val="both"/>
      </w:pPr>
      <w:r>
        <w:rPr/>
        <w:t>čtyři</w:t>
      </w:r>
      <w:r>
        <w:rPr>
          <w:spacing w:val="-5"/>
        </w:rPr>
        <w:t> </w:t>
      </w:r>
      <w:r>
        <w:rPr/>
        <w:t>sta</w:t>
      </w:r>
      <w:r>
        <w:rPr>
          <w:spacing w:val="-6"/>
        </w:rPr>
        <w:t> </w:t>
      </w:r>
      <w:r>
        <w:rPr/>
        <w:t>devadesát</w:t>
      </w:r>
      <w:r>
        <w:rPr>
          <w:spacing w:val="-5"/>
        </w:rPr>
        <w:t> </w:t>
      </w:r>
      <w:r>
        <w:rPr/>
        <w:t>tři</w:t>
      </w:r>
      <w:r>
        <w:rPr>
          <w:spacing w:val="-5"/>
        </w:rPr>
        <w:t> </w:t>
      </w:r>
      <w:r>
        <w:rPr/>
        <w:t>tisíc</w:t>
      </w:r>
      <w:r>
        <w:rPr>
          <w:spacing w:val="-6"/>
        </w:rPr>
        <w:t> </w:t>
      </w:r>
      <w:r>
        <w:rPr/>
        <w:t>čtyři</w:t>
      </w:r>
      <w:r>
        <w:rPr>
          <w:spacing w:val="-4"/>
        </w:rPr>
        <w:t> </w:t>
      </w:r>
      <w:r>
        <w:rPr/>
        <w:t>sta</w:t>
      </w:r>
      <w:r>
        <w:rPr>
          <w:spacing w:val="-6"/>
        </w:rPr>
        <w:t> </w:t>
      </w:r>
      <w:r>
        <w:rPr/>
        <w:t>třicet</w:t>
      </w:r>
      <w:r>
        <w:rPr>
          <w:spacing w:val="-6"/>
        </w:rPr>
        <w:t> </w:t>
      </w:r>
      <w:r>
        <w:rPr/>
        <w:t>sedm</w:t>
      </w:r>
      <w:r>
        <w:rPr>
          <w:spacing w:val="-3"/>
        </w:rPr>
        <w:t> </w:t>
      </w:r>
      <w:r>
        <w:rPr/>
        <w:t>korun</w:t>
      </w:r>
      <w:r>
        <w:rPr>
          <w:spacing w:val="-5"/>
        </w:rPr>
        <w:t> </w:t>
      </w:r>
      <w:r>
        <w:rPr/>
        <w:t>českých</w:t>
      </w:r>
      <w:r>
        <w:rPr>
          <w:spacing w:val="-5"/>
        </w:rPr>
        <w:t> </w:t>
      </w:r>
      <w:r>
        <w:rPr/>
        <w:t>a</w:t>
      </w:r>
      <w:r>
        <w:rPr>
          <w:spacing w:val="-5"/>
        </w:rPr>
        <w:t> </w:t>
      </w:r>
      <w:r>
        <w:rPr/>
        <w:t>devadesát</w:t>
      </w:r>
      <w:r>
        <w:rPr>
          <w:spacing w:val="-3"/>
        </w:rPr>
        <w:t> </w:t>
      </w:r>
      <w:r>
        <w:rPr/>
        <w:t>šest</w:t>
      </w:r>
      <w:r>
        <w:rPr>
          <w:spacing w:val="-6"/>
        </w:rPr>
        <w:t> </w:t>
      </w:r>
      <w:r>
        <w:rPr>
          <w:spacing w:val="-2"/>
        </w:rPr>
        <w:t>haléřů).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493 437,96 Kč.</w:t>
      </w:r>
    </w:p>
    <w:p>
      <w:pPr>
        <w:pStyle w:val="ListParagraph"/>
        <w:numPr>
          <w:ilvl w:val="0"/>
          <w:numId w:val="2"/>
        </w:numPr>
        <w:tabs>
          <w:tab w:pos="526" w:val="left" w:leader="none"/>
        </w:tabs>
        <w:spacing w:line="240" w:lineRule="auto" w:before="119" w:after="0"/>
        <w:ind w:left="525" w:right="0" w:hanging="284"/>
        <w:jc w:val="both"/>
        <w:rPr>
          <w:sz w:val="20"/>
        </w:rPr>
      </w:pPr>
      <w:r>
        <w:rPr>
          <w:sz w:val="20"/>
        </w:rPr>
        <w:t>Podpora</w:t>
      </w:r>
      <w:r>
        <w:rPr>
          <w:spacing w:val="-3"/>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4"/>
          <w:sz w:val="20"/>
        </w:rPr>
        <w:t> </w:t>
      </w:r>
      <w:r>
        <w:rPr>
          <w:sz w:val="20"/>
        </w:rPr>
        <w:t>pro</w:t>
      </w:r>
      <w:r>
        <w:rPr>
          <w:spacing w:val="-1"/>
          <w:sz w:val="20"/>
        </w:rPr>
        <w:t> </w:t>
      </w:r>
      <w:r>
        <w:rPr>
          <w:sz w:val="20"/>
        </w:rPr>
        <w:t>stanovení</w:t>
      </w:r>
      <w:r>
        <w:rPr>
          <w:spacing w:val="-2"/>
          <w:sz w:val="20"/>
        </w:rPr>
        <w:t> </w:t>
      </w:r>
      <w:r>
        <w:rPr>
          <w:sz w:val="20"/>
        </w:rPr>
        <w:t>podpory,</w:t>
      </w:r>
      <w:r>
        <w:rPr>
          <w:spacing w:val="-4"/>
          <w:sz w:val="20"/>
        </w:rPr>
        <w:t> </w:t>
      </w:r>
      <w:r>
        <w:rPr>
          <w:sz w:val="20"/>
        </w:rPr>
        <w:t>tj.</w:t>
      </w:r>
      <w:r>
        <w:rPr>
          <w:spacing w:val="-4"/>
          <w:sz w:val="20"/>
        </w:rPr>
        <w:t> </w:t>
      </w:r>
      <w:r>
        <w:rPr>
          <w:sz w:val="20"/>
        </w:rPr>
        <w:t>z</w:t>
      </w:r>
      <w:r>
        <w:rPr>
          <w:spacing w:val="-3"/>
          <w:sz w:val="20"/>
        </w:rPr>
        <w:t> </w:t>
      </w:r>
      <w:r>
        <w:rPr>
          <w:sz w:val="20"/>
        </w:rPr>
        <w:t>celkových</w:t>
      </w:r>
      <w:r>
        <w:rPr>
          <w:spacing w:val="-3"/>
          <w:sz w:val="20"/>
        </w:rPr>
        <w:t> </w:t>
      </w:r>
      <w:r>
        <w:rPr>
          <w:sz w:val="20"/>
        </w:rPr>
        <w:t>způsobilých</w:t>
      </w:r>
      <w:r>
        <w:rPr>
          <w:spacing w:val="-4"/>
          <w:sz w:val="20"/>
        </w:rPr>
        <w:t> </w:t>
      </w:r>
      <w:r>
        <w:rPr>
          <w:sz w:val="20"/>
        </w:rPr>
        <w:t>výdajů</w:t>
      </w:r>
      <w:r>
        <w:rPr>
          <w:spacing w:val="-4"/>
          <w:sz w:val="20"/>
        </w:rPr>
        <w:t> </w:t>
      </w:r>
      <w:r>
        <w:rPr>
          <w:spacing w:val="-2"/>
          <w:sz w:val="20"/>
        </w:rPr>
        <w:t>podle</w:t>
      </w:r>
    </w:p>
    <w:p>
      <w:pPr>
        <w:pStyle w:val="BodyText"/>
        <w:jc w:val="both"/>
      </w:pPr>
      <w:r>
        <w:rPr/>
        <w:t>bodu</w:t>
      </w:r>
      <w:r>
        <w:rPr>
          <w:spacing w:val="-4"/>
        </w:rPr>
        <w:t> </w:t>
      </w:r>
      <w:r>
        <w:rPr>
          <w:spacing w:val="-5"/>
        </w:rPr>
        <w:t>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2"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18"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20"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1"/>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spacing w:before="1"/>
      </w:pPr>
      <w:r>
        <w:rPr>
          <w:spacing w:val="-2"/>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34" w:top="1060" w:bottom="1660" w:left="1460" w:right="1020"/>
        </w:sectPr>
      </w:pPr>
    </w:p>
    <w:p>
      <w:pPr>
        <w:pStyle w:val="Heading1"/>
        <w:spacing w:before="73"/>
        <w:ind w:right="1061"/>
      </w:pPr>
      <w:r>
        <w:rPr>
          <w:spacing w:val="-4"/>
        </w:rPr>
        <w:t>III.</w:t>
      </w:r>
    </w:p>
    <w:p>
      <w:pPr>
        <w:pStyle w:val="Heading2"/>
        <w:ind w:right="1061"/>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6"/>
          <w:sz w:val="20"/>
        </w:rPr>
        <w:t> </w:t>
      </w:r>
      <w:r>
        <w:rPr>
          <w:sz w:val="20"/>
        </w:rPr>
        <w:t>zálohově</w:t>
      </w:r>
      <w:r>
        <w:rPr>
          <w:spacing w:val="-8"/>
          <w:sz w:val="20"/>
        </w:rPr>
        <w:t> </w:t>
      </w:r>
      <w:r>
        <w:rPr>
          <w:sz w:val="20"/>
        </w:rPr>
        <w:t>poskytnuté</w:t>
      </w:r>
      <w:r>
        <w:rPr>
          <w:spacing w:val="-7"/>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34" w:top="1060" w:bottom="1660" w:left="1460" w:right="1020"/>
        </w:sectPr>
      </w:pPr>
    </w:p>
    <w:p>
      <w:pPr>
        <w:pStyle w:val="BodyText"/>
        <w:ind w:left="0"/>
        <w:rPr>
          <w:sz w:val="26"/>
        </w:rPr>
      </w:pPr>
    </w:p>
    <w:p>
      <w:pPr>
        <w:pStyle w:val="BodyText"/>
        <w:spacing w:before="8"/>
        <w:ind w:left="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73"/>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434"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0" w:hanging="284"/>
        <w:jc w:val="left"/>
        <w:rPr>
          <w:sz w:val="20"/>
        </w:rPr>
      </w:pPr>
      <w:r>
        <w:rPr>
          <w:sz w:val="20"/>
        </w:rPr>
        <w:t>se</w:t>
      </w:r>
      <w:r>
        <w:rPr>
          <w:spacing w:val="25"/>
          <w:sz w:val="20"/>
        </w:rPr>
        <w:t> </w:t>
      </w:r>
      <w:r>
        <w:rPr>
          <w:sz w:val="20"/>
        </w:rPr>
        <w:t>zavazuje</w:t>
      </w:r>
      <w:r>
        <w:rPr>
          <w:spacing w:val="26"/>
          <w:sz w:val="20"/>
        </w:rPr>
        <w:t> </w:t>
      </w:r>
      <w:r>
        <w:rPr>
          <w:sz w:val="20"/>
        </w:rPr>
        <w:t>splnit</w:t>
      </w:r>
      <w:r>
        <w:rPr>
          <w:spacing w:val="26"/>
          <w:sz w:val="20"/>
        </w:rPr>
        <w:t> </w:t>
      </w:r>
      <w:r>
        <w:rPr>
          <w:sz w:val="20"/>
        </w:rPr>
        <w:t>účel</w:t>
      </w:r>
      <w:r>
        <w:rPr>
          <w:spacing w:val="29"/>
          <w:sz w:val="20"/>
        </w:rPr>
        <w:t> </w:t>
      </w:r>
      <w:r>
        <w:rPr>
          <w:sz w:val="20"/>
        </w:rPr>
        <w:t>spočívající</w:t>
      </w:r>
      <w:r>
        <w:rPr>
          <w:spacing w:val="27"/>
          <w:sz w:val="20"/>
        </w:rPr>
        <w:t> </w:t>
      </w:r>
      <w:r>
        <w:rPr>
          <w:sz w:val="20"/>
        </w:rPr>
        <w:t>v</w:t>
      </w:r>
      <w:r>
        <w:rPr>
          <w:spacing w:val="27"/>
          <w:sz w:val="20"/>
        </w:rPr>
        <w:t> </w:t>
      </w:r>
      <w:r>
        <w:rPr>
          <w:sz w:val="20"/>
        </w:rPr>
        <w:t>odstranění</w:t>
      </w:r>
      <w:r>
        <w:rPr>
          <w:spacing w:val="27"/>
          <w:sz w:val="20"/>
        </w:rPr>
        <w:t> </w:t>
      </w:r>
      <w:r>
        <w:rPr>
          <w:sz w:val="20"/>
        </w:rPr>
        <w:t>následků</w:t>
      </w:r>
      <w:r>
        <w:rPr>
          <w:spacing w:val="29"/>
          <w:sz w:val="20"/>
        </w:rPr>
        <w:t> </w:t>
      </w:r>
      <w:r>
        <w:rPr>
          <w:sz w:val="20"/>
        </w:rPr>
        <w:t>povodní</w:t>
      </w:r>
      <w:r>
        <w:rPr>
          <w:spacing w:val="27"/>
          <w:sz w:val="20"/>
        </w:rPr>
        <w:t> </w:t>
      </w:r>
      <w:r>
        <w:rPr>
          <w:sz w:val="20"/>
        </w:rPr>
        <w:t>v</w:t>
      </w:r>
      <w:r>
        <w:rPr>
          <w:spacing w:val="-3"/>
          <w:sz w:val="20"/>
        </w:rPr>
        <w:t> </w:t>
      </w:r>
      <w:r>
        <w:rPr>
          <w:sz w:val="20"/>
        </w:rPr>
        <w:t>rámci</w:t>
      </w:r>
      <w:r>
        <w:rPr>
          <w:spacing w:val="26"/>
          <w:sz w:val="20"/>
        </w:rPr>
        <w:t> </w:t>
      </w:r>
      <w:r>
        <w:rPr>
          <w:sz w:val="20"/>
        </w:rPr>
        <w:t>akce</w:t>
      </w:r>
      <w:r>
        <w:rPr>
          <w:spacing w:val="26"/>
          <w:sz w:val="20"/>
        </w:rPr>
        <w:t> </w:t>
      </w:r>
      <w:r>
        <w:rPr>
          <w:sz w:val="20"/>
        </w:rPr>
        <w:t>„Kaplice</w:t>
      </w:r>
      <w:r>
        <w:rPr>
          <w:spacing w:val="27"/>
          <w:sz w:val="20"/>
        </w:rPr>
        <w:t> </w:t>
      </w:r>
      <w:r>
        <w:rPr>
          <w:sz w:val="20"/>
        </w:rPr>
        <w:t>-</w:t>
      </w:r>
      <w:r>
        <w:rPr>
          <w:spacing w:val="26"/>
          <w:sz w:val="20"/>
        </w:rPr>
        <w:t> </w:t>
      </w:r>
      <w:r>
        <w:rPr>
          <w:spacing w:val="-2"/>
          <w:sz w:val="20"/>
        </w:rPr>
        <w:t>obnova</w:t>
      </w:r>
    </w:p>
    <w:p>
      <w:pPr>
        <w:pStyle w:val="BodyText"/>
        <w:spacing w:before="1"/>
        <w:ind w:left="808"/>
      </w:pPr>
      <w:r>
        <w:rPr/>
        <w:t>vodohospodářské</w:t>
      </w:r>
      <w:r>
        <w:rPr>
          <w:spacing w:val="-8"/>
        </w:rPr>
        <w:t> </w:t>
      </w:r>
      <w:r>
        <w:rPr/>
        <w:t>infrastruktury</w:t>
      </w:r>
      <w:r>
        <w:rPr>
          <w:spacing w:val="-7"/>
        </w:rPr>
        <w:t> </w:t>
      </w:r>
      <w:r>
        <w:rPr/>
        <w:t>po</w:t>
      </w:r>
      <w:r>
        <w:rPr>
          <w:spacing w:val="-7"/>
        </w:rPr>
        <w:t> </w:t>
      </w:r>
      <w:r>
        <w:rPr/>
        <w:t>povodni</w:t>
      </w:r>
      <w:r>
        <w:rPr>
          <w:spacing w:val="-6"/>
        </w:rPr>
        <w:t> </w:t>
      </w:r>
      <w:r>
        <w:rPr/>
        <w:t>2024“</w:t>
      </w:r>
      <w:r>
        <w:rPr>
          <w:spacing w:val="-8"/>
        </w:rPr>
        <w:t> </w:t>
      </w:r>
      <w:r>
        <w:rPr/>
        <w:t>tím,</w:t>
      </w:r>
      <w:r>
        <w:rPr>
          <w:spacing w:val="-7"/>
        </w:rPr>
        <w:t> </w:t>
      </w:r>
      <w:r>
        <w:rPr>
          <w:spacing w:val="-5"/>
        </w:rPr>
        <w:t>že:</w:t>
      </w:r>
    </w:p>
    <w:p>
      <w:pPr>
        <w:pStyle w:val="ListParagraph"/>
        <w:numPr>
          <w:ilvl w:val="0"/>
          <w:numId w:val="5"/>
        </w:numPr>
        <w:tabs>
          <w:tab w:pos="885" w:val="left" w:leader="none"/>
          <w:tab w:pos="886" w:val="left" w:leader="none"/>
        </w:tabs>
        <w:spacing w:line="240" w:lineRule="auto" w:before="120" w:after="0"/>
        <w:ind w:left="885" w:right="0" w:hanging="361"/>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85" w:val="left" w:leader="none"/>
          <w:tab w:pos="886" w:val="left" w:leader="none"/>
        </w:tabs>
        <w:spacing w:line="240" w:lineRule="auto" w:before="118" w:after="0"/>
        <w:ind w:left="885" w:right="119" w:hanging="360"/>
        <w:jc w:val="left"/>
        <w:rPr>
          <w:sz w:val="20"/>
        </w:rPr>
      </w:pPr>
      <w:r>
        <w:rPr>
          <w:sz w:val="20"/>
        </w:rPr>
        <w:t>bude</w:t>
      </w:r>
      <w:r>
        <w:rPr>
          <w:spacing w:val="33"/>
          <w:sz w:val="20"/>
        </w:rPr>
        <w:t> </w:t>
      </w:r>
      <w:r>
        <w:rPr>
          <w:sz w:val="20"/>
        </w:rPr>
        <w:t>obnoven</w:t>
      </w:r>
      <w:r>
        <w:rPr>
          <w:spacing w:val="34"/>
          <w:sz w:val="20"/>
        </w:rPr>
        <w:t> </w:t>
      </w:r>
      <w:r>
        <w:rPr>
          <w:sz w:val="20"/>
        </w:rPr>
        <w:t>1</w:t>
      </w:r>
      <w:r>
        <w:rPr>
          <w:spacing w:val="34"/>
          <w:sz w:val="20"/>
        </w:rPr>
        <w:t> </w:t>
      </w:r>
      <w:r>
        <w:rPr>
          <w:sz w:val="20"/>
        </w:rPr>
        <w:t>ks</w:t>
      </w:r>
      <w:r>
        <w:rPr>
          <w:spacing w:val="34"/>
          <w:sz w:val="20"/>
        </w:rPr>
        <w:t> </w:t>
      </w:r>
      <w:r>
        <w:rPr>
          <w:sz w:val="20"/>
        </w:rPr>
        <w:t>objektu</w:t>
      </w:r>
      <w:r>
        <w:rPr>
          <w:spacing w:val="34"/>
          <w:sz w:val="20"/>
        </w:rPr>
        <w:t> </w:t>
      </w:r>
      <w:r>
        <w:rPr>
          <w:sz w:val="20"/>
        </w:rPr>
        <w:t>vodohospodářské</w:t>
      </w:r>
      <w:r>
        <w:rPr>
          <w:spacing w:val="33"/>
          <w:sz w:val="20"/>
        </w:rPr>
        <w:t> </w:t>
      </w:r>
      <w:r>
        <w:rPr>
          <w:sz w:val="20"/>
        </w:rPr>
        <w:t>infrastruktury</w:t>
      </w:r>
      <w:r>
        <w:rPr>
          <w:spacing w:val="34"/>
          <w:sz w:val="20"/>
        </w:rPr>
        <w:t> </w:t>
      </w:r>
      <w:r>
        <w:rPr>
          <w:sz w:val="20"/>
        </w:rPr>
        <w:t>(vodovodů</w:t>
      </w:r>
      <w:r>
        <w:rPr>
          <w:spacing w:val="34"/>
          <w:sz w:val="20"/>
        </w:rPr>
        <w:t> </w:t>
      </w:r>
      <w:r>
        <w:rPr>
          <w:sz w:val="20"/>
        </w:rPr>
        <w:t>a</w:t>
      </w:r>
      <w:r>
        <w:rPr>
          <w:spacing w:val="34"/>
          <w:sz w:val="20"/>
        </w:rPr>
        <w:t> </w:t>
      </w:r>
      <w:r>
        <w:rPr>
          <w:sz w:val="20"/>
        </w:rPr>
        <w:t>kanalizací</w:t>
      </w:r>
      <w:r>
        <w:rPr>
          <w:spacing w:val="34"/>
          <w:sz w:val="20"/>
        </w:rPr>
        <w:t> </w:t>
      </w:r>
      <w:r>
        <w:rPr>
          <w:sz w:val="20"/>
        </w:rPr>
        <w:t>dle</w:t>
      </w:r>
      <w:r>
        <w:rPr>
          <w:spacing w:val="33"/>
          <w:sz w:val="20"/>
        </w:rPr>
        <w:t> </w:t>
      </w:r>
      <w:r>
        <w:rPr>
          <w:sz w:val="20"/>
        </w:rPr>
        <w:t>zákona č. 274/2001 Sb.) a dešťové 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7"/>
          <w:sz w:val="20"/>
        </w:rPr>
        <w:t> </w:t>
      </w:r>
      <w:r>
        <w:rPr>
          <w:sz w:val="20"/>
        </w:rPr>
        <w:t>ustanovení</w:t>
      </w:r>
      <w:r>
        <w:rPr>
          <w:spacing w:val="-3"/>
          <w:sz w:val="20"/>
        </w:rPr>
        <w:t> </w:t>
      </w:r>
      <w:r>
        <w:rPr>
          <w:sz w:val="20"/>
        </w:rPr>
        <w:t>Směrnice</w:t>
      </w:r>
      <w:r>
        <w:rPr>
          <w:spacing w:val="-6"/>
          <w:sz w:val="20"/>
        </w:rPr>
        <w:t> </w:t>
      </w:r>
      <w:r>
        <w:rPr>
          <w:sz w:val="20"/>
        </w:rPr>
        <w:t>MŽP,</w:t>
      </w:r>
      <w:r>
        <w:rPr>
          <w:spacing w:val="-7"/>
          <w:sz w:val="20"/>
        </w:rPr>
        <w:t> </w:t>
      </w:r>
      <w:r>
        <w:rPr>
          <w:sz w:val="20"/>
        </w:rPr>
        <w:t>Rozhodnutí</w:t>
      </w:r>
      <w:r>
        <w:rPr>
          <w:spacing w:val="-4"/>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06/2025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09/2025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18"/>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434" w:top="1480" w:bottom="1620" w:left="1460" w:right="1020"/>
        </w:sectPr>
      </w:pPr>
    </w:p>
    <w:p>
      <w:pPr>
        <w:pStyle w:val="ListParagraph"/>
        <w:numPr>
          <w:ilvl w:val="1"/>
          <w:numId w:val="4"/>
        </w:numPr>
        <w:tabs>
          <w:tab w:pos="809" w:val="left" w:leader="none"/>
        </w:tabs>
        <w:spacing w:line="240" w:lineRule="auto" w:before="73" w:after="0"/>
        <w:ind w:left="808" w:right="115"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4"/>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8"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ind w:left="0"/>
        <w:rPr>
          <w:sz w:val="36"/>
        </w:rPr>
      </w:pPr>
    </w:p>
    <w:p>
      <w:pPr>
        <w:pStyle w:val="Heading1"/>
        <w:ind w:right="1059"/>
      </w:pPr>
      <w:r>
        <w:rPr>
          <w:spacing w:val="-5"/>
        </w:rPr>
        <w:t>V.</w:t>
      </w:r>
    </w:p>
    <w:p>
      <w:pPr>
        <w:pStyle w:val="Heading2"/>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spacing w:before="1"/>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20"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spacing w:after="0"/>
        <w:sectPr>
          <w:pgSz w:w="12240" w:h="15840"/>
          <w:pgMar w:header="0" w:footer="1434" w:top="1060" w:bottom="1660" w:left="1460" w:right="1020"/>
        </w:sectPr>
      </w:pPr>
    </w:p>
    <w:p>
      <w:pPr>
        <w:pStyle w:val="Heading1"/>
        <w:spacing w:before="73"/>
        <w:ind w:right="1059"/>
      </w:pPr>
      <w:r>
        <w:rPr>
          <w:spacing w:val="-5"/>
        </w:rPr>
        <w:t>VI.</w:t>
      </w:r>
    </w:p>
    <w:p>
      <w:pPr>
        <w:pStyle w:val="Heading2"/>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0"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7"/>
        </w:numPr>
        <w:tabs>
          <w:tab w:pos="526" w:val="left" w:leader="none"/>
        </w:tabs>
        <w:spacing w:line="240" w:lineRule="auto" w:before="121"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1"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20"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526" w:val="left" w:leader="none"/>
        </w:tabs>
        <w:spacing w:line="240" w:lineRule="auto" w:before="118"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2"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rPr>
          <w:sz w:val="36"/>
        </w:rPr>
      </w:pPr>
    </w:p>
    <w:p>
      <w:pPr>
        <w:pStyle w:val="BodyText"/>
        <w:tabs>
          <w:tab w:pos="6691" w:val="left" w:leader="none"/>
        </w:tabs>
        <w:spacing w:before="1"/>
        <w:ind w:left="242"/>
      </w:pPr>
      <w:r>
        <w:rPr>
          <w:spacing w:val="-5"/>
        </w:rPr>
        <w:t>V:</w:t>
      </w:r>
      <w:r>
        <w:rPr/>
        <w:tab/>
        <w:t>V</w:t>
      </w:r>
      <w:r>
        <w:rPr>
          <w:spacing w:val="-5"/>
        </w:rPr>
        <w:t> </w:t>
      </w:r>
      <w:r>
        <w:rPr/>
        <w:t>Praze</w:t>
      </w:r>
      <w:r>
        <w:rPr>
          <w:spacing w:val="18"/>
        </w:rPr>
        <w:t> </w:t>
      </w:r>
      <w:r>
        <w:rPr>
          <w:spacing w:val="-4"/>
        </w:rPr>
        <w:t>dne:</w:t>
      </w:r>
    </w:p>
    <w:p>
      <w:pPr>
        <w:pStyle w:val="BodyText"/>
        <w:ind w:left="0"/>
        <w:rPr>
          <w:sz w:val="18"/>
        </w:rPr>
      </w:pPr>
    </w:p>
    <w:p>
      <w:pPr>
        <w:pStyle w:val="BodyText"/>
        <w:spacing w:before="1"/>
        <w:ind w:left="242"/>
      </w:pPr>
      <w:r>
        <w:rPr>
          <w:spacing w:val="-4"/>
        </w:rPr>
        <w:t>dne:</w:t>
      </w:r>
    </w:p>
    <w:p>
      <w:pPr>
        <w:pStyle w:val="BodyText"/>
        <w:ind w:left="0"/>
        <w:rPr>
          <w:sz w:val="26"/>
        </w:rPr>
      </w:pPr>
    </w:p>
    <w:p>
      <w:pPr>
        <w:pStyle w:val="BodyText"/>
        <w:ind w:left="0"/>
        <w:rPr>
          <w:sz w:val="26"/>
        </w:rPr>
      </w:pPr>
    </w:p>
    <w:p>
      <w:pPr>
        <w:pStyle w:val="BodyText"/>
        <w:spacing w:before="2"/>
        <w:ind w:left="0"/>
        <w:rPr>
          <w:sz w:val="29"/>
        </w:rPr>
      </w:pPr>
    </w:p>
    <w:p>
      <w:pPr>
        <w:tabs>
          <w:tab w:pos="6722" w:val="left" w:leader="none"/>
        </w:tabs>
        <w:spacing w:before="1"/>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ind w:left="0"/>
        <w:rPr>
          <w:sz w:val="26"/>
        </w:rPr>
      </w:pPr>
    </w:p>
    <w:p>
      <w:pPr>
        <w:pStyle w:val="BodyText"/>
        <w:ind w:left="0"/>
        <w:rPr>
          <w:sz w:val="37"/>
        </w:rPr>
      </w:pPr>
    </w:p>
    <w:p>
      <w:pPr>
        <w:pStyle w:val="BodyText"/>
        <w:spacing w:line="264" w:lineRule="auto"/>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34" w:top="1060" w:bottom="162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2"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5"/>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434"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line="261" w:lineRule="auto" w:before="1"/>
              <w:ind w:left="105" w:right="185"/>
              <w:rPr>
                <w:sz w:val="20"/>
              </w:rPr>
            </w:pPr>
            <w:r>
              <w:rPr>
                <w:sz w:val="20"/>
              </w:rPr>
              <w:t>alespoň</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bl>
    <w:p>
      <w:pPr>
        <w:spacing w:after="0" w:line="261" w:lineRule="auto"/>
        <w:rPr>
          <w:sz w:val="20"/>
        </w:rPr>
        <w:sectPr>
          <w:pgSz w:w="12240" w:h="15840"/>
          <w:pgMar w:header="0" w:footer="1434"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4"/>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0"/>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6"/>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line="264" w:lineRule="auto" w:before="1"/>
              <w:rPr>
                <w:sz w:val="20"/>
              </w:rPr>
            </w:pPr>
            <w:r>
              <w:rPr>
                <w:sz w:val="20"/>
              </w:rPr>
              <w:t>zakázek</w:t>
            </w:r>
            <w:r>
              <w:rPr>
                <w:spacing w:val="-14"/>
                <w:sz w:val="20"/>
              </w:rPr>
              <w:t> </w:t>
            </w:r>
            <w:r>
              <w:rPr>
                <w:sz w:val="20"/>
              </w:rPr>
              <w:t>při</w:t>
            </w:r>
            <w:r>
              <w:rPr>
                <w:spacing w:val="-14"/>
                <w:sz w:val="20"/>
              </w:rPr>
              <w:t> </w:t>
            </w:r>
            <w:r>
              <w:rPr>
                <w:sz w:val="20"/>
              </w:rPr>
              <w:t>posouzení nebo hodnocení</w:t>
            </w:r>
          </w:p>
          <w:p>
            <w:pPr>
              <w:pStyle w:val="TableParagraph"/>
              <w:spacing w:before="0"/>
              <w:rPr>
                <w:sz w:val="20"/>
              </w:rPr>
            </w:pP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5"/>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4"/>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34"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1"/>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85"/>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434"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574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88" w:hanging="284"/>
      </w:pPr>
      <w:rPr>
        <w:rFonts w:hint="default"/>
        <w:lang w:val="cs-CZ" w:eastAsia="en-US" w:bidi="ar-SA"/>
      </w:rPr>
    </w:lvl>
    <w:lvl w:ilvl="3">
      <w:start w:val="0"/>
      <w:numFmt w:val="bullet"/>
      <w:lvlText w:val="•"/>
      <w:lvlJc w:val="left"/>
      <w:pPr>
        <w:ind w:left="2697" w:hanging="284"/>
      </w:pPr>
      <w:rPr>
        <w:rFonts w:hint="default"/>
        <w:lang w:val="cs-CZ" w:eastAsia="en-US" w:bidi="ar-SA"/>
      </w:rPr>
    </w:lvl>
    <w:lvl w:ilvl="4">
      <w:start w:val="0"/>
      <w:numFmt w:val="bullet"/>
      <w:lvlText w:val="•"/>
      <w:lvlJc w:val="left"/>
      <w:pPr>
        <w:ind w:left="3706" w:hanging="284"/>
      </w:pPr>
      <w:rPr>
        <w:rFonts w:hint="default"/>
        <w:lang w:val="cs-CZ" w:eastAsia="en-US" w:bidi="ar-SA"/>
      </w:rPr>
    </w:lvl>
    <w:lvl w:ilvl="5">
      <w:start w:val="0"/>
      <w:numFmt w:val="bullet"/>
      <w:lvlText w:val="•"/>
      <w:lvlJc w:val="left"/>
      <w:pPr>
        <w:ind w:left="4715" w:hanging="284"/>
      </w:pPr>
      <w:rPr>
        <w:rFonts w:hint="default"/>
        <w:lang w:val="cs-CZ" w:eastAsia="en-US" w:bidi="ar-SA"/>
      </w:rPr>
    </w:lvl>
    <w:lvl w:ilvl="6">
      <w:start w:val="0"/>
      <w:numFmt w:val="bullet"/>
      <w:lvlText w:val="•"/>
      <w:lvlJc w:val="left"/>
      <w:pPr>
        <w:ind w:left="5724" w:hanging="284"/>
      </w:pPr>
      <w:rPr>
        <w:rFonts w:hint="default"/>
        <w:lang w:val="cs-CZ" w:eastAsia="en-US" w:bidi="ar-SA"/>
      </w:rPr>
    </w:lvl>
    <w:lvl w:ilvl="7">
      <w:start w:val="0"/>
      <w:numFmt w:val="bullet"/>
      <w:lvlText w:val="•"/>
      <w:lvlJc w:val="left"/>
      <w:pPr>
        <w:ind w:left="6733" w:hanging="284"/>
      </w:pPr>
      <w:rPr>
        <w:rFonts w:hint="default"/>
        <w:lang w:val="cs-CZ" w:eastAsia="en-US" w:bidi="ar-SA"/>
      </w:rPr>
    </w:lvl>
    <w:lvl w:ilvl="8">
      <w:start w:val="0"/>
      <w:numFmt w:val="bullet"/>
      <w:lvlText w:val="•"/>
      <w:lvlJc w:val="left"/>
      <w:pPr>
        <w:ind w:left="774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85"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768" w:hanging="360"/>
      </w:pPr>
      <w:rPr>
        <w:rFonts w:hint="default"/>
        <w:lang w:val="cs-CZ" w:eastAsia="en-US" w:bidi="ar-SA"/>
      </w:rPr>
    </w:lvl>
    <w:lvl w:ilvl="2">
      <w:start w:val="0"/>
      <w:numFmt w:val="bullet"/>
      <w:lvlText w:val="•"/>
      <w:lvlJc w:val="left"/>
      <w:pPr>
        <w:ind w:left="2656" w:hanging="360"/>
      </w:pPr>
      <w:rPr>
        <w:rFonts w:hint="default"/>
        <w:lang w:val="cs-CZ" w:eastAsia="en-US" w:bidi="ar-SA"/>
      </w:rPr>
    </w:lvl>
    <w:lvl w:ilvl="3">
      <w:start w:val="0"/>
      <w:numFmt w:val="bullet"/>
      <w:lvlText w:val="•"/>
      <w:lvlJc w:val="left"/>
      <w:pPr>
        <w:ind w:left="3544" w:hanging="360"/>
      </w:pPr>
      <w:rPr>
        <w:rFonts w:hint="default"/>
        <w:lang w:val="cs-CZ" w:eastAsia="en-US" w:bidi="ar-SA"/>
      </w:rPr>
    </w:lvl>
    <w:lvl w:ilvl="4">
      <w:start w:val="0"/>
      <w:numFmt w:val="bullet"/>
      <w:lvlText w:val="•"/>
      <w:lvlJc w:val="left"/>
      <w:pPr>
        <w:ind w:left="4432"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08" w:hanging="360"/>
      </w:pPr>
      <w:rPr>
        <w:rFonts w:hint="default"/>
        <w:lang w:val="cs-CZ" w:eastAsia="en-US" w:bidi="ar-SA"/>
      </w:rPr>
    </w:lvl>
    <w:lvl w:ilvl="7">
      <w:start w:val="0"/>
      <w:numFmt w:val="bullet"/>
      <w:lvlText w:val="•"/>
      <w:lvlJc w:val="left"/>
      <w:pPr>
        <w:ind w:left="7096" w:hanging="360"/>
      </w:pPr>
      <w:rPr>
        <w:rFonts w:hint="default"/>
        <w:lang w:val="cs-CZ" w:eastAsia="en-US" w:bidi="ar-SA"/>
      </w:rPr>
    </w:lvl>
    <w:lvl w:ilvl="8">
      <w:start w:val="0"/>
      <w:numFmt w:val="bullet"/>
      <w:lvlText w:val="•"/>
      <w:lvlJc w:val="left"/>
      <w:pPr>
        <w:ind w:left="7984" w:hanging="360"/>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2025-01-24T13:33:39Z</dcterms:created>
  <dcterms:modified xsi:type="dcterms:W3CDTF">2025-01-24T13:33:39Z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pro Microsoft 365</vt:lpwstr>
  </property>
  <property fmtid="{D5CDD505-2E9C-101B-9397-08002B2CF9AE}" pid="4" name="LastSaved">
    <vt:filetime>2025-01-24T00:00:00Z</vt:filetime>
  </property>
</Properties>
</file>