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18"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shd w:val="clear" w:color="auto" w:fill="auto"/>
          <w:lang w:val="cs-CZ" w:eastAsia="cs-CZ" w:bidi="cs-CZ"/>
        </w:rPr>
        <w:t>DODATEK č. 5 ke SMLOUVĚ č. F00109</w:t>
      </w:r>
      <w:bookmarkEnd w:id="0"/>
      <w:bookmarkEnd w:id="1"/>
      <w:bookmarkEnd w:id="2"/>
    </w:p>
    <w:p>
      <w:pPr>
        <w:pStyle w:val="Style4"/>
        <w:keepNext w:val="0"/>
        <w:keepLines w:val="0"/>
        <w:widowControl w:val="0"/>
        <w:shd w:val="clear" w:color="auto" w:fill="auto"/>
        <w:bidi w:val="0"/>
        <w:spacing w:before="0" w:after="220" w:line="218" w:lineRule="auto"/>
        <w:ind w:left="0" w:right="0" w:firstLine="0"/>
        <w:jc w:val="center"/>
      </w:pPr>
      <w:r>
        <w:rPr>
          <w:rFonts w:ascii="Times New Roman" w:eastAsia="Times New Roman" w:hAnsi="Times New Roman" w:cs="Times New Roman"/>
          <w:color w:val="000000"/>
          <w:spacing w:val="0"/>
          <w:w w:val="100"/>
          <w:position w:val="0"/>
          <w:sz w:val="24"/>
          <w:szCs w:val="24"/>
          <w:shd w:val="clear" w:color="auto" w:fill="auto"/>
          <w:lang w:val="cs-CZ" w:eastAsia="cs-CZ" w:bidi="cs-CZ"/>
        </w:rPr>
        <w:t>SOD objednatele 176/2020</w:t>
      </w:r>
    </w:p>
    <w:p>
      <w:pPr>
        <w:pStyle w:val="Style6"/>
        <w:keepNext w:val="0"/>
        <w:keepLines w:val="0"/>
        <w:widowControl w:val="0"/>
        <w:shd w:val="clear" w:color="auto" w:fill="auto"/>
        <w:bidi w:val="0"/>
        <w:spacing w:before="0" w:after="420" w:line="343"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o shromažďování, sběru, svozu, využívání nebo odstraňování směsného</w:t>
        <w:br/>
        <w:t>komunálního odpadu (dále jen Smlouva</w:t>
      </w:r>
      <w:r>
        <w:rPr>
          <w:rFonts w:ascii="Times New Roman" w:eastAsia="Times New Roman" w:hAnsi="Times New Roman" w:cs="Times New Roman"/>
          <w:b/>
          <w:bCs/>
          <w:color w:val="000000"/>
          <w:spacing w:val="0"/>
          <w:w w:val="100"/>
          <w:position w:val="0"/>
          <w:shd w:val="clear" w:color="auto" w:fill="auto"/>
          <w:lang w:val="cs-CZ" w:eastAsia="cs-CZ" w:bidi="cs-CZ"/>
        </w:rPr>
        <w:t>)</w:t>
        <w:br/>
      </w:r>
      <w:r>
        <w:rPr>
          <w:rFonts w:ascii="Times New Roman" w:eastAsia="Times New Roman" w:hAnsi="Times New Roman" w:cs="Times New Roman"/>
          <w:color w:val="000000"/>
          <w:spacing w:val="0"/>
          <w:w w:val="100"/>
          <w:position w:val="0"/>
          <w:shd w:val="clear" w:color="auto" w:fill="auto"/>
          <w:lang w:val="cs-CZ" w:eastAsia="cs-CZ" w:bidi="cs-CZ"/>
        </w:rPr>
        <w:t>uzavřené mezi těmito smluvními stranami:</w:t>
      </w:r>
    </w:p>
    <w:p>
      <w:pPr>
        <w:pStyle w:val="Style9"/>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rFonts w:ascii="Times New Roman" w:eastAsia="Times New Roman" w:hAnsi="Times New Roman" w:cs="Times New Roman"/>
          <w:color w:val="000000"/>
          <w:spacing w:val="0"/>
          <w:w w:val="100"/>
          <w:position w:val="0"/>
          <w:sz w:val="24"/>
          <w:szCs w:val="24"/>
          <w:shd w:val="clear" w:color="auto" w:fill="auto"/>
          <w:lang w:val="cs-CZ" w:eastAsia="cs-CZ" w:bidi="cs-CZ"/>
        </w:rPr>
        <w:t>Objednatelem:</w:t>
      </w:r>
      <w:bookmarkEnd w:id="3"/>
      <w:bookmarkEnd w:id="4"/>
      <w:bookmarkEnd w:id="5"/>
    </w:p>
    <w:p>
      <w:pPr>
        <w:pStyle w:val="Style9"/>
        <w:keepNext/>
        <w:keepLines/>
        <w:widowControl w:val="0"/>
        <w:shd w:val="clear" w:color="auto" w:fill="auto"/>
        <w:bidi w:val="0"/>
        <w:spacing w:before="0" w:after="0" w:line="240" w:lineRule="auto"/>
        <w:ind w:left="0" w:right="0" w:firstLine="0"/>
        <w:jc w:val="left"/>
      </w:pPr>
      <w:bookmarkStart w:id="3" w:name="bookmark3"/>
      <w:bookmarkStart w:id="4" w:name="bookmark4"/>
      <w:bookmarkStart w:id="6" w:name="bookmark6"/>
      <w:r>
        <w:rPr>
          <w:rFonts w:ascii="Times New Roman" w:eastAsia="Times New Roman" w:hAnsi="Times New Roman" w:cs="Times New Roman"/>
          <w:color w:val="000000"/>
          <w:spacing w:val="0"/>
          <w:w w:val="100"/>
          <w:position w:val="0"/>
          <w:sz w:val="24"/>
          <w:szCs w:val="24"/>
          <w:shd w:val="clear" w:color="auto" w:fill="auto"/>
          <w:lang w:val="cs-CZ" w:eastAsia="cs-CZ" w:bidi="cs-CZ"/>
        </w:rPr>
        <w:t>Povodí Ohře, státní podnik</w:t>
      </w:r>
      <w:bookmarkEnd w:id="3"/>
      <w:bookmarkEnd w:id="4"/>
      <w:bookmarkEnd w:id="6"/>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Chomutov, Bezručova 4219</w:t>
      </w:r>
    </w:p>
    <w:p>
      <w:pPr>
        <w:pStyle w:val="Style4"/>
        <w:keepNext w:val="0"/>
        <w:keepLines w:val="0"/>
        <w:widowControl w:val="0"/>
        <w:shd w:val="clear" w:color="auto" w:fill="auto"/>
        <w:bidi w:val="0"/>
        <w:spacing w:before="0" w:after="0" w:line="264"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Zapsán v obchod. rejstříku vedený Krajským soudem v Ústí nad Labem, oddíl A, vložka 13052</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70889988 DIČ: CZ70889988</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Závod Karlovy Vary, Horova 12, Karlovy Vary 360 01</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Provozovna: Lesní 1180/38, 350 02 Cheb</w:t>
      </w:r>
    </w:p>
    <w:p>
      <w:pPr>
        <w:pStyle w:val="Style4"/>
        <w:keepNext w:val="0"/>
        <w:keepLines w:val="0"/>
        <w:widowControl w:val="0"/>
        <w:shd w:val="clear" w:color="auto" w:fill="auto"/>
        <w:bidi w:val="0"/>
        <w:spacing w:before="0" w:after="0" w:line="240" w:lineRule="auto"/>
        <w:ind w:left="14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Tršnická 17, 350 02 Cheb</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orgán: ve věcech smluvních:</w:t>
      </w:r>
    </w:p>
    <w:p>
      <w:pPr>
        <w:pStyle w:val="Style4"/>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Kontaktní osoba:</w:t>
      </w:r>
    </w:p>
    <w:p>
      <w:pPr>
        <w:pStyle w:val="Style4"/>
        <w:keepNext w:val="0"/>
        <w:keepLines w:val="0"/>
        <w:widowControl w:val="0"/>
        <w:shd w:val="clear" w:color="auto" w:fill="auto"/>
        <w:bidi w:val="0"/>
        <w:spacing w:before="0" w:after="22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Zhotovitelem:</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CHETES s.r.o.</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Pelhřimovská 2268/1</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350 02 Cheb</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Zapsán v obchod. rejstříku vedený Krajským soudem v Plzni oddíl C vložka 8677</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 25208845</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 CZ25208845</w:t>
      </w:r>
    </w:p>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p>
    <w:p>
      <w:pPr>
        <w:pStyle w:val="Style4"/>
        <w:keepNext w:val="0"/>
        <w:keepLines w:val="0"/>
        <w:widowControl w:val="0"/>
        <w:shd w:val="clear" w:color="auto" w:fill="auto"/>
        <w:bidi w:val="0"/>
        <w:spacing w:before="0" w:after="76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Statutární zástupce:</w:t>
      </w:r>
    </w:p>
    <w:p>
      <w:pPr>
        <w:pStyle w:val="Style9"/>
        <w:keepNext/>
        <w:keepLines/>
        <w:widowControl w:val="0"/>
        <w:numPr>
          <w:ilvl w:val="0"/>
          <w:numId w:val="1"/>
        </w:numPr>
        <w:shd w:val="clear" w:color="auto" w:fill="auto"/>
        <w:tabs>
          <w:tab w:pos="349" w:val="left"/>
        </w:tabs>
        <w:bidi w:val="0"/>
        <w:spacing w:before="0" w:line="240" w:lineRule="auto"/>
        <w:ind w:left="0" w:right="0" w:firstLine="0"/>
        <w:jc w:val="center"/>
      </w:pPr>
      <w:bookmarkStart w:id="10" w:name="bookmark10"/>
      <w:bookmarkStart w:id="7" w:name="bookmark7"/>
      <w:bookmarkStart w:id="8" w:name="bookmark8"/>
      <w:bookmarkStart w:id="9" w:name="bookmark9"/>
      <w:bookmarkEnd w:id="9"/>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dodatku</w:t>
      </w:r>
      <w:bookmarkEnd w:id="10"/>
      <w:bookmarkEnd w:id="7"/>
      <w:bookmarkEnd w:id="8"/>
    </w:p>
    <w:p>
      <w:pPr>
        <w:pStyle w:val="Style4"/>
        <w:keepNext w:val="0"/>
        <w:keepLines w:val="0"/>
        <w:widowControl w:val="0"/>
        <w:numPr>
          <w:ilvl w:val="0"/>
          <w:numId w:val="3"/>
        </w:numPr>
        <w:shd w:val="clear" w:color="auto" w:fill="auto"/>
        <w:tabs>
          <w:tab w:pos="378" w:val="left"/>
        </w:tabs>
        <w:bidi w:val="0"/>
        <w:spacing w:before="0" w:after="0" w:line="240" w:lineRule="auto"/>
        <w:ind w:left="380" w:right="0" w:hanging="380"/>
        <w:jc w:val="both"/>
      </w:pPr>
      <w:bookmarkStart w:id="11" w:name="bookmark11"/>
      <w:bookmarkEnd w:id="11"/>
      <w:r>
        <w:rPr>
          <w:rFonts w:ascii="Times New Roman" w:eastAsia="Times New Roman" w:hAnsi="Times New Roman" w:cs="Times New Roman"/>
          <w:color w:val="000000"/>
          <w:spacing w:val="0"/>
          <w:w w:val="100"/>
          <w:position w:val="0"/>
          <w:sz w:val="24"/>
          <w:szCs w:val="24"/>
          <w:shd w:val="clear" w:color="auto" w:fill="auto"/>
          <w:lang w:val="cs-CZ" w:eastAsia="cs-CZ" w:bidi="cs-CZ"/>
        </w:rPr>
        <w:t>Poskytovatel s přihlédnutím k ustanovení čl. III. Cena odstavci 2 a), oznámil Objednateli změnu ceníku služeb s platností od 1.1.2025.</w:t>
      </w:r>
    </w:p>
    <w:p>
      <w:pPr>
        <w:pStyle w:val="Style4"/>
        <w:keepNext w:val="0"/>
        <w:keepLines w:val="0"/>
        <w:widowControl w:val="0"/>
        <w:numPr>
          <w:ilvl w:val="0"/>
          <w:numId w:val="3"/>
        </w:numPr>
        <w:shd w:val="clear" w:color="auto" w:fill="auto"/>
        <w:tabs>
          <w:tab w:pos="378" w:val="left"/>
        </w:tabs>
        <w:bidi w:val="0"/>
        <w:spacing w:before="0" w:after="760" w:line="240" w:lineRule="auto"/>
        <w:ind w:left="380" w:right="0" w:hanging="380"/>
        <w:jc w:val="both"/>
      </w:pPr>
      <w:bookmarkStart w:id="12" w:name="bookmark12"/>
      <w:bookmarkEnd w:id="12"/>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níže uvedeného dne, měsíce a roku vzájemně dohodly na změně Přílohy č.1 ke Smlouvě o dílo č. F00109 s účinností od 1.1.2025. Původní znění Přílohy č.1 se nahrazuje novým zněním Přílohy č.1, která již obsahuje upravené jednotkové ceny za služby v odpadovém hospodářství a jejíž znění je nedílnou součástí tohoto Dodatku č.5 ke Smlouvě č. F00109.</w:t>
      </w:r>
    </w:p>
    <w:p>
      <w:pPr>
        <w:pStyle w:val="Style9"/>
        <w:keepNext/>
        <w:keepLines/>
        <w:widowControl w:val="0"/>
        <w:numPr>
          <w:ilvl w:val="0"/>
          <w:numId w:val="1"/>
        </w:numPr>
        <w:shd w:val="clear" w:color="auto" w:fill="auto"/>
        <w:tabs>
          <w:tab w:pos="445" w:val="left"/>
        </w:tabs>
        <w:bidi w:val="0"/>
        <w:spacing w:before="0" w:after="60" w:line="240" w:lineRule="auto"/>
        <w:ind w:left="0" w:right="0" w:firstLine="0"/>
        <w:jc w:val="center"/>
      </w:pPr>
      <w:bookmarkStart w:id="13" w:name="bookmark13"/>
      <w:bookmarkStart w:id="14" w:name="bookmark14"/>
      <w:bookmarkStart w:id="15" w:name="bookmark15"/>
      <w:bookmarkStart w:id="16" w:name="bookmark16"/>
      <w:bookmarkEnd w:id="15"/>
      <w:r>
        <w:rPr>
          <w:rFonts w:ascii="Times New Roman" w:eastAsia="Times New Roman" w:hAnsi="Times New Roman" w:cs="Times New Roman"/>
          <w:color w:val="000000"/>
          <w:spacing w:val="0"/>
          <w:w w:val="100"/>
          <w:position w:val="0"/>
          <w:sz w:val="24"/>
          <w:szCs w:val="24"/>
          <w:shd w:val="clear" w:color="auto" w:fill="auto"/>
          <w:lang w:val="cs-CZ" w:eastAsia="cs-CZ" w:bidi="cs-CZ"/>
        </w:rPr>
        <w:t>Ostatní ujednání</w:t>
      </w:r>
      <w:bookmarkEnd w:id="13"/>
      <w:bookmarkEnd w:id="14"/>
      <w:bookmarkEnd w:id="16"/>
    </w:p>
    <w:p>
      <w:pPr>
        <w:pStyle w:val="Style4"/>
        <w:keepNext w:val="0"/>
        <w:keepLines w:val="0"/>
        <w:widowControl w:val="0"/>
        <w:numPr>
          <w:ilvl w:val="0"/>
          <w:numId w:val="5"/>
        </w:numPr>
        <w:shd w:val="clear" w:color="auto" w:fill="auto"/>
        <w:tabs>
          <w:tab w:pos="758" w:val="left"/>
        </w:tabs>
        <w:bidi w:val="0"/>
        <w:spacing w:before="0" w:after="0" w:line="240" w:lineRule="auto"/>
        <w:ind w:left="0" w:right="0" w:firstLine="380"/>
        <w:jc w:val="left"/>
      </w:pPr>
      <w:bookmarkStart w:id="17" w:name="bookmark17"/>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OCHRANA A ZPRACOVÁNÍ OSOBNÍCH ÚDAJŮ</w:t>
      </w:r>
    </w:p>
    <w:p>
      <w:pPr>
        <w:pStyle w:val="Style4"/>
        <w:keepNext w:val="0"/>
        <w:keepLines w:val="0"/>
        <w:widowControl w:val="0"/>
        <w:shd w:val="clear" w:color="auto" w:fill="auto"/>
        <w:bidi w:val="0"/>
        <w:spacing w:before="0" w:after="180" w:line="240" w:lineRule="auto"/>
        <w:ind w:left="38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80"/>
          <w:spacing w:val="0"/>
          <w:w w:val="100"/>
          <w:position w:val="0"/>
          <w:sz w:val="24"/>
          <w:szCs w:val="24"/>
          <w:shd w:val="clear" w:color="auto" w:fill="auto"/>
          <w:lang w:val="cs-CZ" w:eastAsia="cs-CZ" w:bidi="cs-CZ"/>
        </w:rPr>
        <w:t>http://www.poh.cz/informace-o-zpracovani-osobnich-</w:t>
      </w:r>
      <w:r>
        <w:fldChar w:fldCharType="end"/>
      </w:r>
      <w:r>
        <w:rPr>
          <w:rFonts w:ascii="Times New Roman" w:eastAsia="Times New Roman" w:hAnsi="Times New Roman" w:cs="Times New Roman"/>
          <w:color w:val="000080"/>
          <w:spacing w:val="0"/>
          <w:w w:val="100"/>
          <w:position w:val="0"/>
          <w:sz w:val="24"/>
          <w:szCs w:val="24"/>
          <w:shd w:val="clear" w:color="auto" w:fill="auto"/>
          <w:lang w:val="cs-CZ" w:eastAsia="cs-CZ" w:bidi="cs-CZ"/>
        </w:rPr>
        <w:t xml:space="preserve">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80"/>
          <w:spacing w:val="0"/>
          <w:w w:val="100"/>
          <w:position w:val="0"/>
          <w:sz w:val="24"/>
          <w:szCs w:val="24"/>
          <w:shd w:val="clear" w:color="auto" w:fill="auto"/>
          <w:lang w:val="cs-CZ" w:eastAsia="cs-CZ" w:bidi="cs-CZ"/>
        </w:rPr>
        <w:t>udaju/d-1369/p1=1459</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4"/>
        <w:keepNext w:val="0"/>
        <w:keepLines w:val="0"/>
        <w:widowControl w:val="0"/>
        <w:numPr>
          <w:ilvl w:val="0"/>
          <w:numId w:val="5"/>
        </w:numPr>
        <w:shd w:val="clear" w:color="auto" w:fill="auto"/>
        <w:tabs>
          <w:tab w:pos="720" w:val="left"/>
        </w:tabs>
        <w:bidi w:val="0"/>
        <w:spacing w:before="0" w:after="0" w:line="240" w:lineRule="auto"/>
        <w:ind w:left="0" w:right="0" w:firstLine="360"/>
        <w:jc w:val="both"/>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COMPLIANCE DOLOŽKA</w:t>
      </w:r>
    </w:p>
    <w:p>
      <w:pPr>
        <w:pStyle w:val="Style4"/>
        <w:keepNext w:val="0"/>
        <w:keepLines w:val="0"/>
        <w:widowControl w:val="0"/>
        <w:numPr>
          <w:ilvl w:val="0"/>
          <w:numId w:val="7"/>
        </w:numPr>
        <w:shd w:val="clear" w:color="auto" w:fill="auto"/>
        <w:tabs>
          <w:tab w:pos="720" w:val="left"/>
        </w:tabs>
        <w:bidi w:val="0"/>
        <w:spacing w:before="0" w:line="240" w:lineRule="auto"/>
        <w:ind w:left="360" w:right="0" w:firstLine="2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0"/>
          <w:numId w:val="7"/>
        </w:numPr>
        <w:shd w:val="clear" w:color="auto" w:fill="auto"/>
        <w:tabs>
          <w:tab w:pos="720" w:val="left"/>
        </w:tabs>
        <w:bidi w:val="0"/>
        <w:spacing w:before="0" w:line="240" w:lineRule="auto"/>
        <w:ind w:left="360" w:right="0" w:firstLine="2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0"/>
          <w:numId w:val="7"/>
        </w:numPr>
        <w:shd w:val="clear" w:color="auto" w:fill="auto"/>
        <w:tabs>
          <w:tab w:pos="720" w:val="left"/>
        </w:tabs>
        <w:bidi w:val="0"/>
        <w:spacing w:before="0" w:line="240" w:lineRule="auto"/>
        <w:ind w:left="360" w:right="0" w:firstLine="20"/>
        <w:jc w:val="both"/>
      </w:pPr>
      <w:bookmarkStart w:id="21" w:name="bookmark21"/>
      <w:bookmarkEnd w:id="21"/>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80"/>
          <w:spacing w:val="0"/>
          <w:w w:val="100"/>
          <w:position w:val="0"/>
          <w:sz w:val="24"/>
          <w:szCs w:val="24"/>
          <w:shd w:val="clear" w:color="auto" w:fill="auto"/>
          <w:lang w:val="cs-CZ" w:eastAsia="cs-CZ" w:bidi="cs-CZ"/>
        </w:rPr>
        <w:t>http://www.poh.cz/protikorupcni-a-compliance-</w:t>
      </w:r>
      <w:r>
        <w:fldChar w:fldCharType="end"/>
      </w:r>
      <w:r>
        <w:rPr>
          <w:rFonts w:ascii="Times New Roman" w:eastAsia="Times New Roman" w:hAnsi="Times New Roman" w:cs="Times New Roman"/>
          <w:color w:val="000080"/>
          <w:spacing w:val="0"/>
          <w:w w:val="100"/>
          <w:position w:val="0"/>
          <w:sz w:val="24"/>
          <w:szCs w:val="24"/>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80"/>
          <w:spacing w:val="0"/>
          <w:w w:val="100"/>
          <w:position w:val="0"/>
          <w:sz w:val="24"/>
          <w:szCs w:val="24"/>
          <w:shd w:val="clear" w:color="auto" w:fill="auto"/>
          <w:lang w:val="cs-CZ" w:eastAsia="cs-CZ" w:bidi="cs-CZ"/>
        </w:rPr>
        <w:t>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4"/>
        <w:keepNext w:val="0"/>
        <w:keepLines w:val="0"/>
        <w:widowControl w:val="0"/>
        <w:numPr>
          <w:ilvl w:val="0"/>
          <w:numId w:val="7"/>
        </w:numPr>
        <w:shd w:val="clear" w:color="auto" w:fill="auto"/>
        <w:tabs>
          <w:tab w:pos="720" w:val="left"/>
        </w:tabs>
        <w:bidi w:val="0"/>
        <w:spacing w:before="0" w:line="240" w:lineRule="auto"/>
        <w:ind w:left="360" w:right="0" w:firstLine="20"/>
        <w:jc w:val="both"/>
      </w:pPr>
      <w:bookmarkStart w:id="22" w:name="bookmark22"/>
      <w:bookmarkEnd w:id="22"/>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4"/>
        <w:keepNext w:val="0"/>
        <w:keepLines w:val="0"/>
        <w:widowControl w:val="0"/>
        <w:numPr>
          <w:ilvl w:val="0"/>
          <w:numId w:val="5"/>
        </w:numPr>
        <w:shd w:val="clear" w:color="auto" w:fill="auto"/>
        <w:tabs>
          <w:tab w:pos="720" w:val="left"/>
        </w:tabs>
        <w:bidi w:val="0"/>
        <w:spacing w:before="0" w:after="0" w:line="240" w:lineRule="auto"/>
        <w:ind w:left="740" w:right="0" w:hanging="360"/>
        <w:jc w:val="both"/>
      </w:pPr>
      <w:bookmarkStart w:id="23" w:name="bookmark23"/>
      <w:bookmarkEnd w:id="23"/>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4"/>
        <w:keepNext w:val="0"/>
        <w:keepLines w:val="0"/>
        <w:widowControl w:val="0"/>
        <w:numPr>
          <w:ilvl w:val="0"/>
          <w:numId w:val="5"/>
        </w:numPr>
        <w:shd w:val="clear" w:color="auto" w:fill="auto"/>
        <w:tabs>
          <w:tab w:pos="720" w:val="left"/>
        </w:tabs>
        <w:bidi w:val="0"/>
        <w:spacing w:before="0" w:after="0" w:line="240" w:lineRule="auto"/>
        <w:ind w:left="0" w:right="0" w:firstLine="360"/>
        <w:jc w:val="both"/>
      </w:pPr>
      <w:bookmarkStart w:id="24" w:name="bookmark24"/>
      <w:bookmarkEnd w:id="24"/>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4"/>
        <w:keepNext w:val="0"/>
        <w:keepLines w:val="0"/>
        <w:widowControl w:val="0"/>
        <w:numPr>
          <w:ilvl w:val="0"/>
          <w:numId w:val="5"/>
        </w:numPr>
        <w:shd w:val="clear" w:color="auto" w:fill="auto"/>
        <w:tabs>
          <w:tab w:pos="720" w:val="left"/>
        </w:tabs>
        <w:bidi w:val="0"/>
        <w:spacing w:before="0" w:after="0" w:line="240" w:lineRule="auto"/>
        <w:ind w:left="740" w:right="0" w:hanging="360"/>
        <w:jc w:val="both"/>
      </w:pPr>
      <w:bookmarkStart w:id="25" w:name="bookmark25"/>
      <w:bookmarkEnd w:id="25"/>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je projevem shodné a svobodné vůle obou smluvních stran, které se se smlouvou i se všemi přílohami seznámily a s jejich zněním souhlasí, což potvrzují svými vlastnoručními podpisy.</w:t>
      </w:r>
    </w:p>
    <w:p>
      <w:pPr>
        <w:pStyle w:val="Style4"/>
        <w:keepNext w:val="0"/>
        <w:keepLines w:val="0"/>
        <w:widowControl w:val="0"/>
        <w:numPr>
          <w:ilvl w:val="0"/>
          <w:numId w:val="5"/>
        </w:numPr>
        <w:shd w:val="clear" w:color="auto" w:fill="auto"/>
        <w:tabs>
          <w:tab w:pos="720" w:val="left"/>
        </w:tabs>
        <w:bidi w:val="0"/>
        <w:spacing w:before="0" w:line="240" w:lineRule="auto"/>
        <w:ind w:left="740" w:right="0" w:hanging="36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Nedílnou součástí této smlouvy jsou přílohy: Příloha č. 1 – Rozsah a ceny poskytovaných služeb</w:t>
      </w:r>
    </w:p>
    <w:p>
      <w:pPr>
        <w:pStyle w:val="Style9"/>
        <w:keepNext/>
        <w:keepLines/>
        <w:widowControl w:val="0"/>
        <w:numPr>
          <w:ilvl w:val="0"/>
          <w:numId w:val="1"/>
        </w:numPr>
        <w:shd w:val="clear" w:color="auto" w:fill="auto"/>
        <w:tabs>
          <w:tab w:pos="541" w:val="left"/>
        </w:tabs>
        <w:bidi w:val="0"/>
        <w:spacing w:before="0" w:line="240" w:lineRule="auto"/>
        <w:ind w:left="0" w:right="0" w:firstLine="0"/>
        <w:jc w:val="center"/>
      </w:pPr>
      <w:bookmarkStart w:id="27" w:name="bookmark27"/>
      <w:bookmarkStart w:id="28" w:name="bookmark28"/>
      <w:bookmarkStart w:id="29" w:name="bookmark29"/>
      <w:bookmarkStart w:id="30" w:name="bookmark30"/>
      <w:bookmarkEnd w:id="29"/>
      <w:r>
        <w:rPr>
          <w:rFonts w:ascii="Times New Roman" w:eastAsia="Times New Roman" w:hAnsi="Times New Roman" w:cs="Times New Roman"/>
          <w:color w:val="000000"/>
          <w:spacing w:val="0"/>
          <w:w w:val="100"/>
          <w:position w:val="0"/>
          <w:sz w:val="24"/>
          <w:szCs w:val="24"/>
          <w:shd w:val="clear" w:color="auto" w:fill="auto"/>
          <w:lang w:val="cs-CZ" w:eastAsia="cs-CZ" w:bidi="cs-CZ"/>
        </w:rPr>
        <w:t>Závěrečná ustanovení</w:t>
      </w:r>
      <w:bookmarkEnd w:id="27"/>
      <w:bookmarkEnd w:id="28"/>
      <w:bookmarkEnd w:id="30"/>
    </w:p>
    <w:p>
      <w:pPr>
        <w:pStyle w:val="Style4"/>
        <w:keepNext w:val="0"/>
        <w:keepLines w:val="0"/>
        <w:widowControl w:val="0"/>
        <w:numPr>
          <w:ilvl w:val="0"/>
          <w:numId w:val="9"/>
        </w:numPr>
        <w:shd w:val="clear" w:color="auto" w:fill="auto"/>
        <w:tabs>
          <w:tab w:pos="678" w:val="left"/>
        </w:tabs>
        <w:bidi w:val="0"/>
        <w:spacing w:before="0" w:after="0" w:line="240" w:lineRule="auto"/>
        <w:ind w:left="660" w:right="0" w:hanging="360"/>
        <w:jc w:val="both"/>
      </w:pPr>
      <w:bookmarkStart w:id="31" w:name="bookmark31"/>
      <w:bookmarkEnd w:id="31"/>
      <w:r>
        <w:rPr>
          <w:rFonts w:ascii="Times New Roman" w:eastAsia="Times New Roman" w:hAnsi="Times New Roman" w:cs="Times New Roman"/>
          <w:color w:val="000000"/>
          <w:spacing w:val="0"/>
          <w:w w:val="100"/>
          <w:position w:val="0"/>
          <w:sz w:val="24"/>
          <w:szCs w:val="24"/>
          <w:shd w:val="clear" w:color="auto" w:fill="auto"/>
          <w:lang w:val="cs-CZ" w:eastAsia="cs-CZ" w:bidi="cs-CZ"/>
        </w:rPr>
        <w:t>Ostatní ustanovení Smlouvy č. F00109 jsou nedotčená, tímto dodatkem se nemění a zůstávají v platnosti.</w:t>
      </w:r>
    </w:p>
    <w:p>
      <w:pPr>
        <w:pStyle w:val="Style4"/>
        <w:keepNext w:val="0"/>
        <w:keepLines w:val="0"/>
        <w:widowControl w:val="0"/>
        <w:numPr>
          <w:ilvl w:val="0"/>
          <w:numId w:val="9"/>
        </w:numPr>
        <w:shd w:val="clear" w:color="auto" w:fill="auto"/>
        <w:tabs>
          <w:tab w:pos="678" w:val="left"/>
        </w:tabs>
        <w:bidi w:val="0"/>
        <w:spacing w:before="0" w:after="0" w:line="240" w:lineRule="auto"/>
        <w:ind w:left="660" w:right="0" w:hanging="360"/>
        <w:jc w:val="both"/>
      </w:pPr>
      <w:bookmarkStart w:id="32" w:name="bookmark32"/>
      <w:bookmarkEnd w:id="32"/>
      <w:r>
        <w:rPr>
          <w:rFonts w:ascii="Times New Roman" w:eastAsia="Times New Roman" w:hAnsi="Times New Roman" w:cs="Times New Roman"/>
          <w:color w:val="000000"/>
          <w:spacing w:val="0"/>
          <w:w w:val="100"/>
          <w:position w:val="0"/>
          <w:sz w:val="24"/>
          <w:szCs w:val="24"/>
          <w:shd w:val="clear" w:color="auto" w:fill="auto"/>
          <w:lang w:val="cs-CZ" w:eastAsia="cs-CZ" w:bidi="cs-CZ"/>
        </w:rPr>
        <w:t>Dodatek č. 5 nabývá platnosti dnem jeho podpisu poslední ze smluvních stran a účinnosti dnem jeho zveřejněním v Registru smluv.</w:t>
      </w:r>
    </w:p>
    <w:p>
      <w:pPr>
        <w:pStyle w:val="Style4"/>
        <w:keepNext w:val="0"/>
        <w:keepLines w:val="0"/>
        <w:widowControl w:val="0"/>
        <w:numPr>
          <w:ilvl w:val="0"/>
          <w:numId w:val="9"/>
        </w:numPr>
        <w:shd w:val="clear" w:color="auto" w:fill="auto"/>
        <w:tabs>
          <w:tab w:pos="678" w:val="left"/>
        </w:tabs>
        <w:bidi w:val="0"/>
        <w:spacing w:before="0" w:after="0" w:line="240" w:lineRule="auto"/>
        <w:ind w:left="660" w:right="0" w:hanging="360"/>
        <w:jc w:val="both"/>
      </w:pPr>
      <w:bookmarkStart w:id="33" w:name="bookmark33"/>
      <w:bookmarkEnd w:id="33"/>
      <w:r>
        <w:rPr>
          <w:rFonts w:ascii="Times New Roman" w:eastAsia="Times New Roman" w:hAnsi="Times New Roman" w:cs="Times New Roman"/>
          <w:color w:val="000000"/>
          <w:spacing w:val="0"/>
          <w:w w:val="100"/>
          <w:position w:val="0"/>
          <w:sz w:val="24"/>
          <w:szCs w:val="24"/>
          <w:shd w:val="clear" w:color="auto" w:fill="auto"/>
          <w:lang w:val="cs-CZ" w:eastAsia="cs-CZ" w:bidi="cs-CZ"/>
        </w:rPr>
        <w:t>Tento dodatek je vyhotoven ve dvou stejnopisech, kdy každá ze smluvních stran obdrží jeden stejnopis. Každé vyhotovení má právní sílu originálu.</w:t>
      </w:r>
    </w:p>
    <w:p>
      <w:pPr>
        <w:pStyle w:val="Style4"/>
        <w:keepNext w:val="0"/>
        <w:keepLines w:val="0"/>
        <w:widowControl w:val="0"/>
        <w:numPr>
          <w:ilvl w:val="0"/>
          <w:numId w:val="9"/>
        </w:numPr>
        <w:shd w:val="clear" w:color="auto" w:fill="auto"/>
        <w:tabs>
          <w:tab w:pos="678" w:val="left"/>
        </w:tabs>
        <w:bidi w:val="0"/>
        <w:spacing w:before="0" w:after="500" w:line="240" w:lineRule="auto"/>
        <w:ind w:left="660" w:right="0" w:hanging="360"/>
        <w:jc w:val="both"/>
      </w:pPr>
      <w:bookmarkStart w:id="34" w:name="bookmark34"/>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svým podpisem tohoto dodatku potvrzují autentičnost tohoto dodatku a prohlašují, že si dodatek přečetly, s jeho obsahem souhlasí, že dodatek byla sepsán na základě pravdivých údajů, z jejich pravé a svobodné vůle a nebyl uzavřen v tísni a za nápadně nevýhodných podmínek pro některou z nich, což stvrzují podpisy svých statutárních zástupců.</w:t>
      </w:r>
    </w:p>
    <w:p>
      <w:pPr>
        <w:pStyle w:val="Style4"/>
        <w:keepNext w:val="0"/>
        <w:keepLines w:val="0"/>
        <w:widowControl w:val="0"/>
        <w:shd w:val="clear" w:color="auto" w:fill="auto"/>
        <w:bidi w:val="0"/>
        <w:spacing w:before="0" w:after="184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Přílohy: Příloha č.1 ke Smlouvě o dílo č. F00109</w:t>
      </w:r>
    </w:p>
    <w:tbl>
      <w:tblPr>
        <w:tblOverlap w:val="never"/>
        <w:jc w:val="center"/>
        <w:tblLayout w:type="fixed"/>
      </w:tblPr>
      <w:tblGrid>
        <w:gridCol w:w="4123"/>
        <w:gridCol w:w="4843"/>
      </w:tblGrid>
      <w:tr>
        <w:trPr>
          <w:trHeight w:val="706"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Chebu dne …………………</w:t>
            </w:r>
          </w:p>
        </w:tc>
        <w:tc>
          <w:tcPr>
            <w:tcBorders/>
            <w:shd w:val="clear" w:color="auto" w:fill="FFFFFF"/>
            <w:vAlign w:val="top"/>
          </w:tcPr>
          <w:p>
            <w:pPr>
              <w:pStyle w:val="Style14"/>
              <w:keepNext w:val="0"/>
              <w:keepLines w:val="0"/>
              <w:widowControl w:val="0"/>
              <w:shd w:val="clear" w:color="auto" w:fill="auto"/>
              <w:tabs>
                <w:tab w:leader="dot" w:pos="4347" w:val="left"/>
              </w:tabs>
              <w:bidi w:val="0"/>
              <w:spacing w:before="0" w:after="0" w:line="240" w:lineRule="auto"/>
              <w:ind w:left="104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K. Varech dne ……………</w:t>
              <w:tab/>
            </w:r>
          </w:p>
        </w:tc>
      </w:tr>
      <w:tr>
        <w:trPr>
          <w:trHeight w:val="1656" w:hRule="exact"/>
        </w:trPr>
        <w:tc>
          <w:tcPr>
            <w:tcBorders/>
            <w:shd w:val="clear" w:color="auto" w:fill="FFFFFF"/>
            <w:vAlign w:val="top"/>
          </w:tcPr>
          <w:p>
            <w:pPr>
              <w:pStyle w:val="Style14"/>
              <w:keepNext w:val="0"/>
              <w:keepLines w:val="0"/>
              <w:widowControl w:val="0"/>
              <w:shd w:val="clear" w:color="auto" w:fill="auto"/>
              <w:bidi w:val="0"/>
              <w:spacing w:before="42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 zhotovitele:</w:t>
            </w:r>
          </w:p>
        </w:tc>
        <w:tc>
          <w:tcPr>
            <w:tcBorders/>
            <w:shd w:val="clear" w:color="auto" w:fill="FFFFFF"/>
            <w:vAlign w:val="top"/>
          </w:tcPr>
          <w:p>
            <w:pPr>
              <w:pStyle w:val="Style14"/>
              <w:keepNext w:val="0"/>
              <w:keepLines w:val="0"/>
              <w:widowControl w:val="0"/>
              <w:shd w:val="clear" w:color="auto" w:fill="auto"/>
              <w:bidi w:val="0"/>
              <w:spacing w:before="420" w:after="0" w:line="240" w:lineRule="auto"/>
              <w:ind w:left="0" w:right="0" w:firstLine="84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 objednatele:</w:t>
            </w:r>
          </w:p>
        </w:tc>
      </w:tr>
      <w:tr>
        <w:trPr>
          <w:trHeight w:val="1378" w:hRule="exact"/>
        </w:trPr>
        <w:tc>
          <w:tcPr>
            <w:tcBorders/>
            <w:shd w:val="clear" w:color="auto" w:fill="FFFFFF"/>
            <w:vAlign w:val="bottom"/>
          </w:tcPr>
          <w:p>
            <w:pPr>
              <w:pStyle w:val="Style14"/>
              <w:keepNext w:val="0"/>
              <w:keepLines w:val="0"/>
              <w:widowControl w:val="0"/>
              <w:shd w:val="clear" w:color="auto" w:fill="auto"/>
              <w:tabs>
                <w:tab w:leader="dot" w:pos="3240"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ab/>
            </w:r>
          </w:p>
        </w:tc>
        <w:tc>
          <w:tcPr>
            <w:tcBorders/>
            <w:shd w:val="clear" w:color="auto" w:fill="FFFFFF"/>
            <w:vAlign w:val="bottom"/>
          </w:tcPr>
          <w:p>
            <w:pPr>
              <w:pStyle w:val="Style14"/>
              <w:keepNext w:val="0"/>
              <w:keepLines w:val="0"/>
              <w:widowControl w:val="0"/>
              <w:shd w:val="clear" w:color="auto" w:fill="auto"/>
              <w:tabs>
                <w:tab w:leader="dot" w:pos="3240" w:val="left"/>
              </w:tabs>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ab/>
            </w:r>
          </w:p>
        </w:tc>
      </w:tr>
      <w:tr>
        <w:trPr>
          <w:trHeight w:val="504"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110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jednatel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226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ředitel závodu K. Vary</w:t>
            </w:r>
          </w:p>
        </w:tc>
      </w:tr>
    </w:tbl>
    <w:p>
      <w:pPr>
        <w:sectPr>
          <w:footnotePr>
            <w:pos w:val="pageBottom"/>
            <w:numFmt w:val="decimal"/>
            <w:numRestart w:val="continuous"/>
          </w:footnotePr>
          <w:pgSz w:w="11909" w:h="16838"/>
          <w:pgMar w:top="897" w:left="1396" w:right="1388" w:bottom="620" w:header="469" w:footer="192" w:gutter="0"/>
          <w:pgNumType w:start="1"/>
          <w:cols w:space="720"/>
          <w:noEndnote/>
          <w:rtlGutter w:val="0"/>
          <w:docGrid w:linePitch="360"/>
        </w:sectPr>
      </w:pPr>
    </w:p>
    <w:p>
      <w:pPr>
        <w:pStyle w:val="Style2"/>
        <w:keepNext/>
        <w:keepLines/>
        <w:widowControl w:val="0"/>
        <w:shd w:val="clear" w:color="auto" w:fill="auto"/>
        <w:bidi w:val="0"/>
        <w:spacing w:before="0" w:after="100" w:line="240" w:lineRule="auto"/>
        <w:ind w:left="0" w:right="0" w:firstLine="0"/>
        <w:jc w:val="center"/>
      </w:pPr>
      <w:bookmarkStart w:id="35" w:name="bookmark35"/>
      <w:bookmarkStart w:id="36" w:name="bookmark36"/>
      <w:bookmarkStart w:id="37" w:name="bookmark37"/>
      <w:r>
        <w:rPr>
          <w:rFonts w:ascii="Times New Roman" w:eastAsia="Times New Roman" w:hAnsi="Times New Roman" w:cs="Times New Roman"/>
          <w:color w:val="000000"/>
          <w:spacing w:val="0"/>
          <w:w w:val="100"/>
          <w:position w:val="0"/>
          <w:shd w:val="clear" w:color="auto" w:fill="auto"/>
          <w:lang w:val="cs-CZ" w:eastAsia="cs-CZ" w:bidi="cs-CZ"/>
        </w:rPr>
        <w:t>Příloha č.1 ke Smlouvě o dílo č. F00109</w:t>
      </w:r>
      <w:bookmarkEnd w:id="35"/>
      <w:bookmarkEnd w:id="36"/>
      <w:bookmarkEnd w:id="37"/>
    </w:p>
    <w:p>
      <w:pPr>
        <w:pStyle w:val="Style6"/>
        <w:keepNext w:val="0"/>
        <w:keepLines w:val="0"/>
        <w:widowControl w:val="0"/>
        <w:shd w:val="clear" w:color="auto" w:fill="auto"/>
        <w:bidi w:val="0"/>
        <w:spacing w:before="0" w:line="286" w:lineRule="auto"/>
        <w:ind w:left="0" w:right="0" w:firstLine="0"/>
        <w:jc w:val="center"/>
      </w:pPr>
      <w:r>
        <w:rPr>
          <w:rFonts w:ascii="Times New Roman" w:eastAsia="Times New Roman" w:hAnsi="Times New Roman" w:cs="Times New Roman"/>
          <w:color w:val="000000"/>
          <w:spacing w:val="0"/>
          <w:w w:val="100"/>
          <w:position w:val="0"/>
          <w:shd w:val="clear" w:color="auto" w:fill="auto"/>
          <w:lang w:val="cs-CZ" w:eastAsia="cs-CZ" w:bidi="cs-CZ"/>
        </w:rPr>
        <w:t>o shromažďování, sběru, svozu, využívání nebo odstraňování směsného</w:t>
        <w:br/>
        <w:t>komunálního odpadu a odděleně sbíraného odpadu (dále jen Smlouva</w:t>
      </w:r>
      <w:r>
        <w:rPr>
          <w:rFonts w:ascii="Times New Roman" w:eastAsia="Times New Roman" w:hAnsi="Times New Roman" w:cs="Times New Roman"/>
          <w:b/>
          <w:bCs/>
          <w:color w:val="000000"/>
          <w:spacing w:val="0"/>
          <w:w w:val="100"/>
          <w:position w:val="0"/>
          <w:shd w:val="clear" w:color="auto" w:fill="auto"/>
          <w:lang w:val="cs-CZ" w:eastAsia="cs-CZ" w:bidi="cs-CZ"/>
        </w:rPr>
        <w:t>)</w:t>
        <w:br/>
        <w:t>Seznam stanovišť, počtu kusů a velikost sběrných nádob, frekvence a cena</w:t>
        <w:br/>
        <w:t>vývozů</w:t>
      </w:r>
    </w:p>
    <w:p>
      <w:pPr>
        <w:pStyle w:val="Style16"/>
        <w:keepNext w:val="0"/>
        <w:keepLines w:val="0"/>
        <w:widowControl w:val="0"/>
        <w:shd w:val="clear" w:color="auto" w:fill="auto"/>
        <w:bidi w:val="0"/>
        <w:spacing w:before="0" w:after="0" w:line="240" w:lineRule="auto"/>
        <w:ind w:left="1780" w:right="0" w:firstLine="0"/>
        <w:jc w:val="left"/>
      </w:pPr>
      <w:r>
        <mc:AlternateContent>
          <mc:Choice Requires="wps">
            <w:drawing>
              <wp:anchor distT="0" distB="0" distL="0" distR="0" simplePos="0" relativeHeight="125829378" behindDoc="0" locked="0" layoutInCell="1" allowOverlap="1">
                <wp:simplePos x="0" y="0"/>
                <wp:positionH relativeFrom="page">
                  <wp:posOffset>4463415</wp:posOffset>
                </wp:positionH>
                <wp:positionV relativeFrom="paragraph">
                  <wp:posOffset>12700</wp:posOffset>
                </wp:positionV>
                <wp:extent cx="990600" cy="210185"/>
                <wp:wrapSquare wrapText="left"/>
                <wp:docPr id="1" name="Shape 1"/>
                <a:graphic xmlns:a="http://schemas.openxmlformats.org/drawingml/2006/main">
                  <a:graphicData uri="http://schemas.microsoft.com/office/word/2010/wordprocessingShape">
                    <wps:wsp>
                      <wps:cNvSpPr txBox="1"/>
                      <wps:spPr>
                        <a:xfrm>
                          <a:ext cx="990600" cy="21018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hd w:val="clear" w:color="auto" w:fill="auto"/>
                                <w:lang w:val="cs-CZ" w:eastAsia="cs-CZ" w:bidi="cs-CZ"/>
                              </w:rPr>
                              <w:t>komunální odpad</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1.44999999999999pt;margin-top:1.pt;width:78.pt;height:16.550000000000001pt;z-index:-125829375;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hd w:val="clear" w:color="auto" w:fill="auto"/>
                          <w:lang w:val="cs-CZ" w:eastAsia="cs-CZ" w:bidi="cs-CZ"/>
                        </w:rPr>
                        <w:t>komunální odpad</w:t>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shd w:val="clear" w:color="auto" w:fill="auto"/>
          <w:lang w:val="cs-CZ" w:eastAsia="cs-CZ" w:bidi="cs-CZ"/>
        </w:rPr>
        <w:t>Specifikace požadavku objednatele směsný</w:t>
      </w:r>
    </w:p>
    <w:p>
      <w:pPr>
        <w:pStyle w:val="Style16"/>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9" w:h="16838"/>
          <w:pgMar w:top="1267" w:left="1495" w:right="1490" w:bottom="6765" w:header="839" w:footer="6337" w:gutter="0"/>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cs-CZ" w:eastAsia="cs-CZ" w:bidi="cs-CZ"/>
        </w:rPr>
        <w:t>kat. č. 20 03 01</w:t>
      </w:r>
    </w:p>
    <w:p>
      <w:pPr>
        <w:widowControl w:val="0"/>
        <w:spacing w:line="219" w:lineRule="exact"/>
        <w:rPr>
          <w:sz w:val="18"/>
          <w:szCs w:val="18"/>
        </w:rPr>
      </w:pPr>
    </w:p>
    <w:p>
      <w:pPr>
        <w:widowControl w:val="0"/>
        <w:spacing w:line="1" w:lineRule="exact"/>
        <w:sectPr>
          <w:footnotePr>
            <w:pos w:val="pageBottom"/>
            <w:numFmt w:val="decimal"/>
            <w:numRestart w:val="continuous"/>
          </w:footnotePr>
          <w:type w:val="continuous"/>
          <w:pgSz w:w="11909" w:h="16838"/>
          <w:pgMar w:top="1267" w:left="0" w:right="0" w:bottom="1267" w:header="0" w:footer="3" w:gutter="0"/>
          <w:cols w:space="720"/>
          <w:noEndnote/>
          <w:rtlGutter w:val="0"/>
          <w:docGrid w:linePitch="360"/>
        </w:sectPr>
      </w:pP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38" w:name="bookmark38"/>
      <w:bookmarkEnd w:id="38"/>
      <w:r>
        <w:rPr>
          <w:rFonts w:ascii="Times New Roman" w:eastAsia="Times New Roman" w:hAnsi="Times New Roman" w:cs="Times New Roman"/>
          <w:color w:val="000000"/>
          <w:spacing w:val="0"/>
          <w:w w:val="100"/>
          <w:position w:val="0"/>
          <w:shd w:val="clear" w:color="auto" w:fill="auto"/>
          <w:lang w:val="cs-CZ" w:eastAsia="cs-CZ" w:bidi="cs-CZ"/>
        </w:rPr>
        <w:t>Datum zahájení svozu, pravidelný den svozu:</w:t>
      </w: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39" w:name="bookmark39"/>
      <w:bookmarkEnd w:id="39"/>
      <w:r>
        <w:rPr>
          <w:rFonts w:ascii="Times New Roman" w:eastAsia="Times New Roman" w:hAnsi="Times New Roman" w:cs="Times New Roman"/>
          <w:color w:val="000000"/>
          <w:spacing w:val="0"/>
          <w:w w:val="100"/>
          <w:position w:val="0"/>
          <w:shd w:val="clear" w:color="auto" w:fill="auto"/>
          <w:lang w:val="cs-CZ" w:eastAsia="cs-CZ" w:bidi="cs-CZ"/>
        </w:rPr>
        <w:t>Stanoviště odpadové nádoby:</w:t>
      </w: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40" w:name="bookmark40"/>
      <w:bookmarkEnd w:id="40"/>
      <w:r>
        <w:rPr>
          <w:rFonts w:ascii="Times New Roman" w:eastAsia="Times New Roman" w:hAnsi="Times New Roman" w:cs="Times New Roman"/>
          <w:color w:val="000000"/>
          <w:spacing w:val="0"/>
          <w:w w:val="100"/>
          <w:position w:val="0"/>
          <w:shd w:val="clear" w:color="auto" w:fill="auto"/>
          <w:lang w:val="cs-CZ" w:eastAsia="cs-CZ" w:bidi="cs-CZ"/>
        </w:rPr>
        <w:t>Objem odpadové nádoby:</w:t>
      </w: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41" w:name="bookmark41"/>
      <w:bookmarkEnd w:id="41"/>
      <w:r>
        <w:rPr>
          <w:rFonts w:ascii="Times New Roman" w:eastAsia="Times New Roman" w:hAnsi="Times New Roman" w:cs="Times New Roman"/>
          <w:color w:val="000000"/>
          <w:spacing w:val="0"/>
          <w:w w:val="100"/>
          <w:position w:val="0"/>
          <w:shd w:val="clear" w:color="auto" w:fill="auto"/>
          <w:lang w:val="cs-CZ" w:eastAsia="cs-CZ" w:bidi="cs-CZ"/>
        </w:rPr>
        <w:t>Frekvence vývozu:</w:t>
      </w: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42" w:name="bookmark42"/>
      <w:bookmarkEnd w:id="42"/>
      <w:r>
        <w:rPr>
          <w:rFonts w:ascii="Times New Roman" w:eastAsia="Times New Roman" w:hAnsi="Times New Roman" w:cs="Times New Roman"/>
          <w:color w:val="000000"/>
          <w:spacing w:val="0"/>
          <w:w w:val="100"/>
          <w:position w:val="0"/>
          <w:shd w:val="clear" w:color="auto" w:fill="auto"/>
          <w:lang w:val="cs-CZ" w:eastAsia="cs-CZ" w:bidi="cs-CZ"/>
        </w:rPr>
        <w:t>Jednotková cena za 1 ks/rok bez DPH :</w:t>
      </w: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43" w:name="bookmark43"/>
      <w:bookmarkEnd w:id="43"/>
      <w:r>
        <w:rPr>
          <w:rFonts w:ascii="Times New Roman" w:eastAsia="Times New Roman" w:hAnsi="Times New Roman" w:cs="Times New Roman"/>
          <w:color w:val="000000"/>
          <w:spacing w:val="0"/>
          <w:w w:val="100"/>
          <w:position w:val="0"/>
          <w:shd w:val="clear" w:color="auto" w:fill="auto"/>
          <w:lang w:val="cs-CZ" w:eastAsia="cs-CZ" w:bidi="cs-CZ"/>
        </w:rPr>
        <w:t>Množství odpadových nádob:</w:t>
      </w: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44" w:name="bookmark44"/>
      <w:bookmarkEnd w:id="44"/>
      <w:r>
        <w:rPr>
          <w:rFonts w:ascii="Times New Roman" w:eastAsia="Times New Roman" w:hAnsi="Times New Roman" w:cs="Times New Roman"/>
          <w:color w:val="000000"/>
          <w:spacing w:val="0"/>
          <w:w w:val="100"/>
          <w:position w:val="0"/>
          <w:shd w:val="clear" w:color="auto" w:fill="auto"/>
          <w:lang w:val="cs-CZ" w:eastAsia="cs-CZ" w:bidi="cs-CZ"/>
        </w:rPr>
        <w:t>Roční cena za svoz</w:t>
      </w: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45" w:name="bookmark45"/>
      <w:bookmarkEnd w:id="45"/>
      <w:r>
        <w:rPr>
          <w:rFonts w:ascii="Times New Roman" w:eastAsia="Times New Roman" w:hAnsi="Times New Roman" w:cs="Times New Roman"/>
          <w:color w:val="000000"/>
          <w:spacing w:val="0"/>
          <w:w w:val="100"/>
          <w:position w:val="0"/>
          <w:shd w:val="clear" w:color="auto" w:fill="auto"/>
          <w:lang w:val="cs-CZ" w:eastAsia="cs-CZ" w:bidi="cs-CZ"/>
        </w:rPr>
        <w:t>Fakturace dílčího plnění za účtovací období:</w:t>
      </w: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46" w:name="bookmark46"/>
      <w:bookmarkEnd w:id="46"/>
      <w:r>
        <w:rPr>
          <w:rFonts w:ascii="Times New Roman" w:eastAsia="Times New Roman" w:hAnsi="Times New Roman" w:cs="Times New Roman"/>
          <w:color w:val="000000"/>
          <w:spacing w:val="0"/>
          <w:w w:val="100"/>
          <w:position w:val="0"/>
          <w:shd w:val="clear" w:color="auto" w:fill="auto"/>
          <w:lang w:val="cs-CZ" w:eastAsia="cs-CZ" w:bidi="cs-CZ"/>
        </w:rPr>
        <w:t>Celková výše platby bez DPH za dílčí plnění</w:t>
      </w:r>
    </w:p>
    <w:p>
      <w:pPr>
        <w:pStyle w:val="Style16"/>
        <w:keepNext w:val="0"/>
        <w:keepLines w:val="0"/>
        <w:framePr w:w="4282" w:h="2410" w:wrap="none" w:vAnchor="text" w:hAnchor="page" w:x="1755" w:y="21"/>
        <w:widowControl w:val="0"/>
        <w:numPr>
          <w:ilvl w:val="0"/>
          <w:numId w:val="11"/>
        </w:numPr>
        <w:shd w:val="clear" w:color="auto" w:fill="auto"/>
        <w:tabs>
          <w:tab w:pos="360" w:val="left"/>
        </w:tabs>
        <w:bidi w:val="0"/>
        <w:spacing w:before="0" w:after="0" w:line="240" w:lineRule="auto"/>
        <w:ind w:left="0" w:right="0" w:firstLine="0"/>
        <w:jc w:val="left"/>
      </w:pPr>
      <w:bookmarkStart w:id="47" w:name="bookmark47"/>
      <w:bookmarkEnd w:id="47"/>
      <w:r>
        <w:rPr>
          <w:rFonts w:ascii="Times New Roman" w:eastAsia="Times New Roman" w:hAnsi="Times New Roman" w:cs="Times New Roman"/>
          <w:color w:val="000000"/>
          <w:spacing w:val="0"/>
          <w:w w:val="100"/>
          <w:position w:val="0"/>
          <w:shd w:val="clear" w:color="auto" w:fill="auto"/>
          <w:lang w:val="cs-CZ" w:eastAsia="cs-CZ" w:bidi="cs-CZ"/>
        </w:rPr>
        <w:t>Způsob úhrady – faktura</w:t>
      </w:r>
    </w:p>
    <w:p>
      <w:pPr>
        <w:pStyle w:val="Style16"/>
        <w:keepNext w:val="0"/>
        <w:keepLines w:val="0"/>
        <w:framePr w:w="773" w:h="792" w:wrap="none" w:vAnchor="text" w:hAnchor="page" w:x="7765" w:y="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1.1.2025 Lesní 38 120 l</w:t>
      </w:r>
    </w:p>
    <w:p>
      <w:pPr>
        <w:pStyle w:val="Style16"/>
        <w:keepNext w:val="0"/>
        <w:keepLines w:val="0"/>
        <w:framePr w:w="888" w:h="797" w:wrap="none" w:vAnchor="text" w:hAnchor="page" w:x="7765" w:y="69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 x 14 dní</w:t>
      </w:r>
    </w:p>
    <w:p>
      <w:pPr>
        <w:pStyle w:val="Style16"/>
        <w:keepNext w:val="0"/>
        <w:keepLines w:val="0"/>
        <w:framePr w:w="888" w:h="797" w:wrap="none" w:vAnchor="text" w:hAnchor="page" w:x="7765" w:y="69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1248,- Kč</w:t>
      </w:r>
    </w:p>
    <w:p>
      <w:pPr>
        <w:pStyle w:val="Style16"/>
        <w:keepNext w:val="0"/>
        <w:keepLines w:val="0"/>
        <w:framePr w:w="888" w:h="797" w:wrap="none" w:vAnchor="text" w:hAnchor="page" w:x="7765" w:y="69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 Ks</w:t>
      </w:r>
    </w:p>
    <w:p>
      <w:pPr>
        <w:pStyle w:val="Style16"/>
        <w:keepNext w:val="0"/>
        <w:keepLines w:val="0"/>
        <w:framePr w:w="869" w:h="797" w:wrap="none" w:vAnchor="text" w:hAnchor="page" w:x="7765" w:y="138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1248,- Kč pololetně 624,- Kč</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48" w:name="bookmark48"/>
      <w:bookmarkEnd w:id="48"/>
      <w:r>
        <w:rPr>
          <w:rFonts w:ascii="Times New Roman" w:eastAsia="Times New Roman" w:hAnsi="Times New Roman" w:cs="Times New Roman"/>
          <w:color w:val="000000"/>
          <w:spacing w:val="0"/>
          <w:w w:val="100"/>
          <w:position w:val="0"/>
          <w:shd w:val="clear" w:color="auto" w:fill="auto"/>
          <w:lang w:val="cs-CZ" w:eastAsia="cs-CZ" w:bidi="cs-CZ"/>
        </w:rPr>
        <w:t>Datum zahájení svozu, pravidelný den svozu:</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49" w:name="bookmark49"/>
      <w:bookmarkEnd w:id="49"/>
      <w:r>
        <w:rPr>
          <w:rFonts w:ascii="Times New Roman" w:eastAsia="Times New Roman" w:hAnsi="Times New Roman" w:cs="Times New Roman"/>
          <w:color w:val="000000"/>
          <w:spacing w:val="0"/>
          <w:w w:val="100"/>
          <w:position w:val="0"/>
          <w:shd w:val="clear" w:color="auto" w:fill="auto"/>
          <w:lang w:val="cs-CZ" w:eastAsia="cs-CZ" w:bidi="cs-CZ"/>
        </w:rPr>
        <w:t>Stanoviště odpadové nádoby:</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50" w:name="bookmark50"/>
      <w:bookmarkEnd w:id="50"/>
      <w:r>
        <w:rPr>
          <w:rFonts w:ascii="Times New Roman" w:eastAsia="Times New Roman" w:hAnsi="Times New Roman" w:cs="Times New Roman"/>
          <w:color w:val="000000"/>
          <w:spacing w:val="0"/>
          <w:w w:val="100"/>
          <w:position w:val="0"/>
          <w:shd w:val="clear" w:color="auto" w:fill="auto"/>
          <w:lang w:val="cs-CZ" w:eastAsia="cs-CZ" w:bidi="cs-CZ"/>
        </w:rPr>
        <w:t>Objem odpadové nádoby:</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51" w:name="bookmark51"/>
      <w:bookmarkEnd w:id="51"/>
      <w:r>
        <w:rPr>
          <w:rFonts w:ascii="Times New Roman" w:eastAsia="Times New Roman" w:hAnsi="Times New Roman" w:cs="Times New Roman"/>
          <w:color w:val="000000"/>
          <w:spacing w:val="0"/>
          <w:w w:val="100"/>
          <w:position w:val="0"/>
          <w:shd w:val="clear" w:color="auto" w:fill="auto"/>
          <w:lang w:val="cs-CZ" w:eastAsia="cs-CZ" w:bidi="cs-CZ"/>
        </w:rPr>
        <w:t>Frekvence vývozu:</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52" w:name="bookmark52"/>
      <w:bookmarkEnd w:id="52"/>
      <w:r>
        <w:rPr>
          <w:rFonts w:ascii="Times New Roman" w:eastAsia="Times New Roman" w:hAnsi="Times New Roman" w:cs="Times New Roman"/>
          <w:color w:val="000000"/>
          <w:spacing w:val="0"/>
          <w:w w:val="100"/>
          <w:position w:val="0"/>
          <w:shd w:val="clear" w:color="auto" w:fill="auto"/>
          <w:lang w:val="cs-CZ" w:eastAsia="cs-CZ" w:bidi="cs-CZ"/>
        </w:rPr>
        <w:t>Jednotková cena za 1 ks/rok bez DPH :</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53" w:name="bookmark53"/>
      <w:bookmarkEnd w:id="53"/>
      <w:r>
        <w:rPr>
          <w:rFonts w:ascii="Times New Roman" w:eastAsia="Times New Roman" w:hAnsi="Times New Roman" w:cs="Times New Roman"/>
          <w:color w:val="000000"/>
          <w:spacing w:val="0"/>
          <w:w w:val="100"/>
          <w:position w:val="0"/>
          <w:shd w:val="clear" w:color="auto" w:fill="auto"/>
          <w:lang w:val="cs-CZ" w:eastAsia="cs-CZ" w:bidi="cs-CZ"/>
        </w:rPr>
        <w:t>Množství odpadových nádob:</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54" w:name="bookmark54"/>
      <w:bookmarkEnd w:id="54"/>
      <w:r>
        <w:rPr>
          <w:rFonts w:ascii="Times New Roman" w:eastAsia="Times New Roman" w:hAnsi="Times New Roman" w:cs="Times New Roman"/>
          <w:color w:val="000000"/>
          <w:spacing w:val="0"/>
          <w:w w:val="100"/>
          <w:position w:val="0"/>
          <w:shd w:val="clear" w:color="auto" w:fill="auto"/>
          <w:lang w:val="cs-CZ" w:eastAsia="cs-CZ" w:bidi="cs-CZ"/>
        </w:rPr>
        <w:t>Roční cena za svoz</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55" w:name="bookmark55"/>
      <w:bookmarkEnd w:id="55"/>
      <w:r>
        <w:rPr>
          <w:rFonts w:ascii="Times New Roman" w:eastAsia="Times New Roman" w:hAnsi="Times New Roman" w:cs="Times New Roman"/>
          <w:color w:val="000000"/>
          <w:spacing w:val="0"/>
          <w:w w:val="100"/>
          <w:position w:val="0"/>
          <w:shd w:val="clear" w:color="auto" w:fill="auto"/>
          <w:lang w:val="cs-CZ" w:eastAsia="cs-CZ" w:bidi="cs-CZ"/>
        </w:rPr>
        <w:t>Fakturace dílčího plnění za účtovací období:</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56" w:name="bookmark56"/>
      <w:bookmarkEnd w:id="56"/>
      <w:r>
        <w:rPr>
          <w:rFonts w:ascii="Times New Roman" w:eastAsia="Times New Roman" w:hAnsi="Times New Roman" w:cs="Times New Roman"/>
          <w:color w:val="000000"/>
          <w:spacing w:val="0"/>
          <w:w w:val="100"/>
          <w:position w:val="0"/>
          <w:shd w:val="clear" w:color="auto" w:fill="auto"/>
          <w:lang w:val="cs-CZ" w:eastAsia="cs-CZ" w:bidi="cs-CZ"/>
        </w:rPr>
        <w:t>Celková výše platby bez DPH za dílčí plnění</w:t>
      </w:r>
    </w:p>
    <w:p>
      <w:pPr>
        <w:pStyle w:val="Style16"/>
        <w:keepNext w:val="0"/>
        <w:keepLines w:val="0"/>
        <w:framePr w:w="4282" w:h="2414" w:wrap="none" w:vAnchor="text" w:hAnchor="page" w:x="1755" w:y="2540"/>
        <w:widowControl w:val="0"/>
        <w:numPr>
          <w:ilvl w:val="0"/>
          <w:numId w:val="13"/>
        </w:numPr>
        <w:shd w:val="clear" w:color="auto" w:fill="auto"/>
        <w:tabs>
          <w:tab w:pos="360" w:val="left"/>
        </w:tabs>
        <w:bidi w:val="0"/>
        <w:spacing w:before="0" w:after="0" w:line="240" w:lineRule="auto"/>
        <w:ind w:left="0" w:right="0" w:firstLine="0"/>
        <w:jc w:val="left"/>
      </w:pPr>
      <w:bookmarkStart w:id="57" w:name="bookmark57"/>
      <w:bookmarkEnd w:id="57"/>
      <w:r>
        <w:rPr>
          <w:rFonts w:ascii="Times New Roman" w:eastAsia="Times New Roman" w:hAnsi="Times New Roman" w:cs="Times New Roman"/>
          <w:color w:val="000000"/>
          <w:spacing w:val="0"/>
          <w:w w:val="100"/>
          <w:position w:val="0"/>
          <w:shd w:val="clear" w:color="auto" w:fill="auto"/>
          <w:lang w:val="cs-CZ" w:eastAsia="cs-CZ" w:bidi="cs-CZ"/>
        </w:rPr>
        <w:t>Způsob úhrady – faktura</w:t>
      </w:r>
    </w:p>
    <w:p>
      <w:pPr>
        <w:pStyle w:val="Style16"/>
        <w:keepNext w:val="0"/>
        <w:keepLines w:val="0"/>
        <w:framePr w:w="1075" w:h="797" w:wrap="none" w:vAnchor="text" w:hAnchor="page" w:x="7765" w:y="254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1.1.2025 Tršnická 17</w:t>
      </w:r>
    </w:p>
    <w:p>
      <w:pPr>
        <w:pStyle w:val="Style16"/>
        <w:keepNext w:val="0"/>
        <w:keepLines w:val="0"/>
        <w:framePr w:w="1075" w:h="797" w:wrap="none" w:vAnchor="text" w:hAnchor="page" w:x="7765" w:y="254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240 l</w:t>
      </w:r>
    </w:p>
    <w:p>
      <w:pPr>
        <w:pStyle w:val="Style16"/>
        <w:keepNext w:val="0"/>
        <w:keepLines w:val="0"/>
        <w:framePr w:w="869" w:h="797" w:wrap="none" w:vAnchor="text" w:hAnchor="page" w:x="7765" w:y="32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 x 7 dní</w:t>
      </w:r>
    </w:p>
    <w:p>
      <w:pPr>
        <w:pStyle w:val="Style16"/>
        <w:keepNext w:val="0"/>
        <w:keepLines w:val="0"/>
        <w:framePr w:w="869" w:h="797" w:wrap="none" w:vAnchor="text" w:hAnchor="page" w:x="7765" w:y="32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5148,- Kč</w:t>
      </w:r>
    </w:p>
    <w:p>
      <w:pPr>
        <w:pStyle w:val="Style16"/>
        <w:keepNext w:val="0"/>
        <w:keepLines w:val="0"/>
        <w:framePr w:w="869" w:h="797" w:wrap="none" w:vAnchor="text" w:hAnchor="page" w:x="7765" w:y="32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1 Ks</w:t>
      </w:r>
    </w:p>
    <w:p>
      <w:pPr>
        <w:pStyle w:val="Style16"/>
        <w:keepNext w:val="0"/>
        <w:keepLines w:val="0"/>
        <w:framePr w:w="869" w:h="792" w:wrap="none" w:vAnchor="text" w:hAnchor="page" w:x="7765" w:y="392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5148,- Kč pololetně 2574,- Kč</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pPr>
    </w:p>
    <w:sectPr>
      <w:footnotePr>
        <w:pos w:val="pageBottom"/>
        <w:numFmt w:val="decimal"/>
        <w:numRestart w:val="continuous"/>
      </w:footnotePr>
      <w:type w:val="continuous"/>
      <w:pgSz w:w="11909" w:h="16838"/>
      <w:pgMar w:top="1267" w:left="1495" w:right="1490" w:bottom="1267"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bCs/>
      <w:i w:val="0"/>
      <w:iCs w:val="0"/>
      <w:smallCaps w:val="0"/>
      <w:strike w:val="0"/>
      <w:sz w:val="32"/>
      <w:szCs w:val="32"/>
      <w:u w:val="none"/>
    </w:rPr>
  </w:style>
  <w:style w:type="character" w:customStyle="1" w:styleId="CharStyle5">
    <w:name w:val="Char Style 5"/>
    <w:basedOn w:val="DefaultParagraphFont"/>
    <w:link w:val="Style4"/>
    <w:rPr>
      <w:b w:val="0"/>
      <w:bCs w:val="0"/>
      <w:i w:val="0"/>
      <w:iCs w:val="0"/>
      <w:smallCaps w:val="0"/>
      <w:strike w:val="0"/>
      <w:u w:val="none"/>
    </w:rPr>
  </w:style>
  <w:style w:type="character" w:customStyle="1" w:styleId="CharStyle7">
    <w:name w:val="Char Style 7"/>
    <w:basedOn w:val="DefaultParagraphFont"/>
    <w:link w:val="Style6"/>
    <w:rPr>
      <w:b w:val="0"/>
      <w:bCs w:val="0"/>
      <w:i w:val="0"/>
      <w:iCs w:val="0"/>
      <w:smallCaps w:val="0"/>
      <w:strike w:val="0"/>
      <w:sz w:val="28"/>
      <w:szCs w:val="28"/>
      <w:u w:val="none"/>
    </w:rPr>
  </w:style>
  <w:style w:type="character" w:customStyle="1" w:styleId="CharStyle10">
    <w:name w:val="Char Style 10"/>
    <w:basedOn w:val="DefaultParagraphFont"/>
    <w:link w:val="Style9"/>
    <w:rPr>
      <w:b/>
      <w:bCs/>
      <w:i w:val="0"/>
      <w:iCs w:val="0"/>
      <w:smallCaps w:val="0"/>
      <w:strike w:val="0"/>
      <w:u w:val="none"/>
    </w:rPr>
  </w:style>
  <w:style w:type="character" w:customStyle="1" w:styleId="CharStyle15">
    <w:name w:val="Char Style 15"/>
    <w:basedOn w:val="DefaultParagraphFont"/>
    <w:link w:val="Style14"/>
    <w:rPr>
      <w:b w:val="0"/>
      <w:bCs w:val="0"/>
      <w:i w:val="0"/>
      <w:iCs w:val="0"/>
      <w:smallCaps w:val="0"/>
      <w:strike w:val="0"/>
      <w:u w:val="none"/>
    </w:rPr>
  </w:style>
  <w:style w:type="character" w:customStyle="1" w:styleId="CharStyle17">
    <w:name w:val="Char Style 17"/>
    <w:basedOn w:val="DefaultParagraphFont"/>
    <w:link w:val="Style16"/>
    <w:rPr>
      <w:b/>
      <w:bCs/>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50" w:line="228" w:lineRule="auto"/>
      <w:jc w:val="center"/>
      <w:outlineLvl w:val="0"/>
    </w:pPr>
    <w:rPr>
      <w:b/>
      <w:bCs/>
      <w:i w:val="0"/>
      <w:iCs w:val="0"/>
      <w:smallCaps w:val="0"/>
      <w:strike w:val="0"/>
      <w:sz w:val="32"/>
      <w:szCs w:val="32"/>
      <w:u w:val="none"/>
    </w:rPr>
  </w:style>
  <w:style w:type="paragraph" w:customStyle="1" w:styleId="Style4">
    <w:name w:val="Style 4"/>
    <w:basedOn w:val="Normal"/>
    <w:link w:val="CharStyle5"/>
    <w:pPr>
      <w:widowControl w:val="0"/>
      <w:shd w:val="clear" w:color="auto" w:fill="FFFFFF"/>
      <w:spacing w:after="60"/>
    </w:pPr>
    <w:rPr>
      <w:b w:val="0"/>
      <w:bCs w:val="0"/>
      <w:i w:val="0"/>
      <w:iCs w:val="0"/>
      <w:smallCaps w:val="0"/>
      <w:strike w:val="0"/>
      <w:u w:val="none"/>
    </w:rPr>
  </w:style>
  <w:style w:type="paragraph" w:customStyle="1" w:styleId="Style6">
    <w:name w:val="Style 6"/>
    <w:basedOn w:val="Normal"/>
    <w:link w:val="CharStyle7"/>
    <w:pPr>
      <w:widowControl w:val="0"/>
      <w:shd w:val="clear" w:color="auto" w:fill="FFFFFF"/>
      <w:spacing w:after="700" w:line="314" w:lineRule="auto"/>
      <w:jc w:val="center"/>
    </w:pPr>
    <w:rPr>
      <w:b w:val="0"/>
      <w:bCs w:val="0"/>
      <w:i w:val="0"/>
      <w:iCs w:val="0"/>
      <w:smallCaps w:val="0"/>
      <w:strike w:val="0"/>
      <w:sz w:val="28"/>
      <w:szCs w:val="28"/>
      <w:u w:val="none"/>
    </w:rPr>
  </w:style>
  <w:style w:type="paragraph" w:customStyle="1" w:styleId="Style9">
    <w:name w:val="Style 9"/>
    <w:basedOn w:val="Normal"/>
    <w:link w:val="CharStyle10"/>
    <w:pPr>
      <w:widowControl w:val="0"/>
      <w:shd w:val="clear" w:color="auto" w:fill="FFFFFF"/>
      <w:spacing w:after="220"/>
      <w:jc w:val="center"/>
      <w:outlineLvl w:val="1"/>
    </w:pPr>
    <w:rPr>
      <w:b/>
      <w:bCs/>
      <w:i w:val="0"/>
      <w:iCs w:val="0"/>
      <w:smallCaps w:val="0"/>
      <w:strike w:val="0"/>
      <w:u w:val="none"/>
    </w:rPr>
  </w:style>
  <w:style w:type="paragraph" w:customStyle="1" w:styleId="Style14">
    <w:name w:val="Style 14"/>
    <w:basedOn w:val="Normal"/>
    <w:link w:val="CharStyle15"/>
    <w:pPr>
      <w:widowControl w:val="0"/>
      <w:shd w:val="clear" w:color="auto" w:fill="FFFFFF"/>
      <w:spacing w:after="60"/>
    </w:pPr>
    <w:rPr>
      <w:b w:val="0"/>
      <w:bCs w:val="0"/>
      <w:i w:val="0"/>
      <w:iCs w:val="0"/>
      <w:smallCaps w:val="0"/>
      <w:strike w:val="0"/>
      <w:u w:val="none"/>
    </w:rPr>
  </w:style>
  <w:style w:type="paragraph" w:customStyle="1" w:styleId="Style16">
    <w:name w:val="Style 16"/>
    <w:basedOn w:val="Normal"/>
    <w:link w:val="CharStyle17"/>
    <w:pPr>
      <w:widowControl w:val="0"/>
      <w:shd w:val="clear" w:color="auto" w:fill="FFFFFF"/>
    </w:pPr>
    <w:rPr>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SMLOUVA   O   DÍLO</dc:title>
  <dc:subject/>
  <dc:creator>javurkova</dc:creator>
  <cp:keywords/>
</cp:coreProperties>
</file>