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950E" w14:textId="77777777" w:rsidR="005B3737" w:rsidRDefault="005B3737">
      <w:pPr>
        <w:pStyle w:val="Standard"/>
        <w:jc w:val="both"/>
      </w:pPr>
    </w:p>
    <w:p w14:paraId="41450A1C" w14:textId="3589F561" w:rsidR="005B3737" w:rsidRPr="0085794B" w:rsidRDefault="00F010F7">
      <w:pPr>
        <w:pStyle w:val="Standard"/>
        <w:jc w:val="both"/>
        <w:rPr>
          <w:sz w:val="22"/>
          <w:szCs w:val="22"/>
        </w:rPr>
      </w:pPr>
      <w:r w:rsidRPr="0085794B">
        <w:rPr>
          <w:b/>
          <w:bCs/>
          <w:sz w:val="22"/>
          <w:szCs w:val="22"/>
        </w:rPr>
        <w:t>Předmět:</w:t>
      </w:r>
      <w:r w:rsidRPr="0085794B">
        <w:rPr>
          <w:sz w:val="22"/>
          <w:szCs w:val="22"/>
        </w:rPr>
        <w:t xml:space="preserve"> Dodatek smlouvy č. 1 ke Smlouvě o poskytnutí pronájmu licence softwaru a služeb podpory ze dne 22.10.2024 mezi smluvními stranami:</w:t>
      </w:r>
    </w:p>
    <w:p w14:paraId="10A1ADB7" w14:textId="77777777" w:rsidR="005B3737" w:rsidRDefault="00F010F7">
      <w:pPr>
        <w:pStyle w:val="Nadpis3"/>
        <w:tabs>
          <w:tab w:val="left" w:pos="0"/>
        </w:tabs>
        <w:rPr>
          <w:rFonts w:eastAsia="MS Mincho"/>
          <w:sz w:val="22"/>
        </w:rPr>
      </w:pPr>
      <w:r>
        <w:rPr>
          <w:rFonts w:eastAsia="MS Mincho"/>
          <w:sz w:val="22"/>
        </w:rPr>
        <w:t xml:space="preserve"> </w:t>
      </w:r>
    </w:p>
    <w:p w14:paraId="2591FB48" w14:textId="77777777" w:rsidR="005B3737" w:rsidRDefault="005B3737">
      <w:pPr>
        <w:pStyle w:val="Standard"/>
      </w:pPr>
    </w:p>
    <w:p w14:paraId="6C61BCAA" w14:textId="77777777" w:rsidR="005B3737" w:rsidRDefault="00F010F7">
      <w:pPr>
        <w:pStyle w:val="Standard"/>
        <w:jc w:val="both"/>
      </w:pPr>
      <w:r>
        <w:rPr>
          <w:sz w:val="22"/>
        </w:rPr>
        <w:t xml:space="preserve">1) </w:t>
      </w:r>
      <w:r>
        <w:rPr>
          <w:b/>
          <w:bCs/>
          <w:sz w:val="22"/>
        </w:rPr>
        <w:t>TIS Brno, s. r. o.</w:t>
      </w:r>
      <w:r>
        <w:rPr>
          <w:sz w:val="22"/>
        </w:rPr>
        <w:t>, Křtiny 221, 679 05 Křtiny, IČ: 269 38 944, DIČ: CZ26938944</w:t>
      </w:r>
    </w:p>
    <w:p w14:paraId="7C8FB8D8" w14:textId="7BE0278E" w:rsidR="005B3737" w:rsidRDefault="00F010F7">
      <w:pPr>
        <w:pStyle w:val="Standard"/>
        <w:jc w:val="both"/>
        <w:rPr>
          <w:sz w:val="22"/>
        </w:rPr>
      </w:pPr>
      <w:r>
        <w:rPr>
          <w:sz w:val="22"/>
        </w:rPr>
        <w:t xml:space="preserve">Zastoupení: </w:t>
      </w:r>
      <w:proofErr w:type="spellStart"/>
      <w:r w:rsidR="007D3897">
        <w:rPr>
          <w:sz w:val="22"/>
        </w:rPr>
        <w:t>xxxx</w:t>
      </w:r>
      <w:proofErr w:type="spellEnd"/>
      <w:r>
        <w:rPr>
          <w:sz w:val="22"/>
        </w:rPr>
        <w:t>, jednatel společnosti</w:t>
      </w:r>
    </w:p>
    <w:p w14:paraId="30B336AC" w14:textId="248DAD29" w:rsidR="005B3737" w:rsidRDefault="00F010F7">
      <w:pPr>
        <w:pStyle w:val="Standard"/>
        <w:jc w:val="both"/>
        <w:rPr>
          <w:sz w:val="22"/>
        </w:rPr>
      </w:pPr>
      <w:r>
        <w:rPr>
          <w:sz w:val="22"/>
        </w:rPr>
        <w:t>Bankovní spojení: Raiffeisenbank a.s. č.</w:t>
      </w:r>
      <w:r w:rsidR="00C8144D">
        <w:rPr>
          <w:sz w:val="22"/>
        </w:rPr>
        <w:t xml:space="preserve"> </w:t>
      </w:r>
      <w:r>
        <w:rPr>
          <w:sz w:val="22"/>
        </w:rPr>
        <w:t>účtu: 366479028/5500</w:t>
      </w:r>
    </w:p>
    <w:p w14:paraId="6645363B" w14:textId="77777777" w:rsidR="005B3737" w:rsidRDefault="00F010F7">
      <w:pPr>
        <w:pStyle w:val="Standard"/>
        <w:jc w:val="both"/>
        <w:rPr>
          <w:sz w:val="22"/>
        </w:rPr>
      </w:pPr>
      <w:r>
        <w:rPr>
          <w:sz w:val="22"/>
        </w:rPr>
        <w:t>Společnost je zapsána v obchodním rejstříku vedeném Krajským soudem v Brně, oddíl C, vložka 46968</w:t>
      </w:r>
    </w:p>
    <w:p w14:paraId="083E55CC" w14:textId="77777777" w:rsidR="005B3737" w:rsidRDefault="005B3737">
      <w:pPr>
        <w:pStyle w:val="Standard"/>
        <w:jc w:val="both"/>
        <w:rPr>
          <w:sz w:val="22"/>
        </w:rPr>
      </w:pPr>
    </w:p>
    <w:p w14:paraId="5A6E16D9" w14:textId="77777777" w:rsidR="005B3737" w:rsidRDefault="00F010F7">
      <w:pPr>
        <w:pStyle w:val="Standard"/>
        <w:jc w:val="both"/>
        <w:rPr>
          <w:sz w:val="22"/>
        </w:rPr>
      </w:pPr>
      <w:r>
        <w:rPr>
          <w:sz w:val="22"/>
        </w:rPr>
        <w:t>(dále jen „</w:t>
      </w:r>
      <w:r w:rsidRPr="0085794B">
        <w:rPr>
          <w:b/>
          <w:bCs/>
          <w:sz w:val="22"/>
        </w:rPr>
        <w:t>zhotovitel</w:t>
      </w:r>
      <w:r>
        <w:rPr>
          <w:sz w:val="22"/>
        </w:rPr>
        <w:t>“)</w:t>
      </w:r>
    </w:p>
    <w:p w14:paraId="4C6F7552" w14:textId="77777777" w:rsidR="005B3737" w:rsidRDefault="005B3737">
      <w:pPr>
        <w:tabs>
          <w:tab w:val="left" w:pos="4860"/>
        </w:tabs>
        <w:jc w:val="both"/>
        <w:rPr>
          <w:rFonts w:cs="Times New Roman"/>
          <w:sz w:val="22"/>
          <w:szCs w:val="22"/>
        </w:rPr>
      </w:pPr>
    </w:p>
    <w:p w14:paraId="03977DD3" w14:textId="3F3EBB1F" w:rsidR="005B3737" w:rsidRDefault="00F010F7">
      <w:pPr>
        <w:tabs>
          <w:tab w:val="left" w:pos="486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</w:t>
      </w:r>
      <w:r>
        <w:rPr>
          <w:rFonts w:cs="Times New Roman"/>
          <w:b/>
          <w:bCs/>
          <w:sz w:val="22"/>
          <w:szCs w:val="22"/>
        </w:rPr>
        <w:t>Oblastní nemocnice Trutnov a.s.</w:t>
      </w:r>
      <w:r>
        <w:rPr>
          <w:rFonts w:cs="Times New Roman"/>
          <w:sz w:val="22"/>
          <w:szCs w:val="22"/>
        </w:rPr>
        <w:t>, Maxima Gorkého 77, 541 01, Trutnov</w:t>
      </w:r>
    </w:p>
    <w:p w14:paraId="65C2B342" w14:textId="77777777" w:rsidR="005B3737" w:rsidRDefault="00F010F7">
      <w:pPr>
        <w:tabs>
          <w:tab w:val="left" w:pos="486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IČ:26000237, DIČ:CZ699004900</w:t>
      </w:r>
    </w:p>
    <w:p w14:paraId="7963E03C" w14:textId="77777777" w:rsidR="005B3737" w:rsidRDefault="00F010F7">
      <w:pPr>
        <w:tabs>
          <w:tab w:val="left" w:pos="486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zástupce: Ing. Miroslav Procházka, Ph.D., předseda správní rady</w:t>
      </w:r>
    </w:p>
    <w:p w14:paraId="079E6845" w14:textId="77777777" w:rsidR="005B3737" w:rsidRDefault="00F010F7">
      <w:pPr>
        <w:tabs>
          <w:tab w:val="left" w:pos="486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bankovní spojení: 7186 345 575/0300, ČSOB a.s.</w:t>
      </w:r>
    </w:p>
    <w:p w14:paraId="6312C5F4" w14:textId="77777777" w:rsidR="005B3737" w:rsidRDefault="00F010F7">
      <w:pPr>
        <w:tabs>
          <w:tab w:val="left" w:pos="486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zápis v obch. rejstříku vedeném u Krajského soudu v Hradci Králové, spisová značka B2334</w:t>
      </w:r>
    </w:p>
    <w:p w14:paraId="624105E5" w14:textId="77777777" w:rsidR="005B3737" w:rsidRDefault="00F010F7">
      <w:pPr>
        <w:tabs>
          <w:tab w:val="left" w:pos="486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(dále jen „objednatel“).</w:t>
      </w:r>
    </w:p>
    <w:p w14:paraId="738BFD60" w14:textId="649D754B" w:rsidR="005B3737" w:rsidRDefault="00F010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14:paraId="5C844E40" w14:textId="77777777" w:rsidR="005B3737" w:rsidRDefault="00F010F7">
      <w:pPr>
        <w:ind w:left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14:paraId="5ABAC930" w14:textId="77777777" w:rsidR="005B3737" w:rsidRDefault="00F010F7">
      <w:pPr>
        <w:pStyle w:val="Standard"/>
        <w:tabs>
          <w:tab w:val="left" w:pos="4860"/>
        </w:tabs>
        <w:jc w:val="both"/>
      </w:pPr>
      <w:r>
        <w:rPr>
          <w:bCs/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objednatel</w:t>
      </w:r>
      <w:r w:rsidRPr="00C8144D">
        <w:rPr>
          <w:bCs/>
          <w:sz w:val="22"/>
          <w:szCs w:val="22"/>
        </w:rPr>
        <w:t>“</w:t>
      </w:r>
      <w:r>
        <w:rPr>
          <w:bCs/>
          <w:sz w:val="22"/>
          <w:szCs w:val="22"/>
        </w:rPr>
        <w:t>).</w:t>
      </w:r>
      <w:r>
        <w:rPr>
          <w:bCs/>
        </w:rPr>
        <w:t xml:space="preserve">         </w:t>
      </w:r>
    </w:p>
    <w:p w14:paraId="4AC50B68" w14:textId="77777777" w:rsidR="005B3737" w:rsidRDefault="005B3737">
      <w:pPr>
        <w:pStyle w:val="Standard"/>
        <w:tabs>
          <w:tab w:val="left" w:pos="4860"/>
        </w:tabs>
        <w:jc w:val="both"/>
      </w:pPr>
    </w:p>
    <w:p w14:paraId="04536DE0" w14:textId="77777777" w:rsidR="005B3737" w:rsidRDefault="00F010F7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</w:rPr>
        <w:t>Článek I.</w:t>
      </w:r>
    </w:p>
    <w:p w14:paraId="0FAADCBB" w14:textId="77777777" w:rsidR="005B3737" w:rsidRDefault="00F010F7">
      <w:pPr>
        <w:pStyle w:val="Nadpis2"/>
      </w:pPr>
      <w:r>
        <w:t>Předmět dodatku</w:t>
      </w:r>
    </w:p>
    <w:p w14:paraId="28E2A7CF" w14:textId="77777777" w:rsidR="005B3737" w:rsidRDefault="005B3737">
      <w:pPr>
        <w:pStyle w:val="Standard"/>
        <w:jc w:val="center"/>
        <w:rPr>
          <w:b/>
          <w:bCs/>
        </w:rPr>
      </w:pPr>
    </w:p>
    <w:p w14:paraId="1A4C7AAE" w14:textId="7F50C592" w:rsidR="005B3737" w:rsidRPr="0085794B" w:rsidRDefault="00F010F7">
      <w:pPr>
        <w:pStyle w:val="Textbodyindent"/>
        <w:ind w:left="0"/>
        <w:jc w:val="both"/>
        <w:rPr>
          <w:sz w:val="22"/>
          <w:szCs w:val="22"/>
        </w:rPr>
      </w:pPr>
      <w:r w:rsidRPr="0085794B">
        <w:rPr>
          <w:sz w:val="22"/>
          <w:szCs w:val="22"/>
        </w:rPr>
        <w:t>Smluvní strany se dohodly s platností od 1. 1. 202</w:t>
      </w:r>
      <w:r w:rsidR="00C8144D">
        <w:rPr>
          <w:sz w:val="22"/>
          <w:szCs w:val="22"/>
        </w:rPr>
        <w:t>5</w:t>
      </w:r>
      <w:r w:rsidRPr="0085794B">
        <w:rPr>
          <w:sz w:val="22"/>
          <w:szCs w:val="22"/>
        </w:rPr>
        <w:t xml:space="preserve"> na změnách „Smlouvy o poskytnutí pronájmu licence softwaru a služeb podpory“, (dále jen „smlouva“) a to tak, jak jsou tyto změny zachyceny v článku „Změny“ tohoto dodatku.</w:t>
      </w:r>
    </w:p>
    <w:p w14:paraId="030B2DD2" w14:textId="77777777" w:rsidR="005B3737" w:rsidRDefault="005B3737">
      <w:pPr>
        <w:pStyle w:val="Standard"/>
      </w:pPr>
    </w:p>
    <w:p w14:paraId="5EE98523" w14:textId="77777777" w:rsidR="005B3737" w:rsidRDefault="00F010F7">
      <w:pPr>
        <w:pStyle w:val="Standard"/>
        <w:jc w:val="center"/>
        <w:rPr>
          <w:b/>
          <w:bCs/>
        </w:rPr>
      </w:pPr>
      <w:r>
        <w:rPr>
          <w:b/>
          <w:bCs/>
        </w:rPr>
        <w:t>Článek II.</w:t>
      </w:r>
    </w:p>
    <w:p w14:paraId="3FA5843B" w14:textId="77777777" w:rsidR="005B3737" w:rsidRDefault="00F010F7">
      <w:pPr>
        <w:pStyle w:val="Nadpis2"/>
      </w:pPr>
      <w:r>
        <w:t>Změny</w:t>
      </w:r>
    </w:p>
    <w:p w14:paraId="4BCEA738" w14:textId="77777777" w:rsidR="005B3737" w:rsidRDefault="005B3737">
      <w:pPr>
        <w:pStyle w:val="Standard"/>
        <w:jc w:val="both"/>
      </w:pPr>
    </w:p>
    <w:p w14:paraId="51F1FCBD" w14:textId="51426321" w:rsidR="005B3737" w:rsidRPr="0085794B" w:rsidRDefault="00F010F7" w:rsidP="0085794B">
      <w:pPr>
        <w:pStyle w:val="Standard"/>
        <w:jc w:val="both"/>
        <w:rPr>
          <w:sz w:val="22"/>
          <w:szCs w:val="22"/>
        </w:rPr>
      </w:pPr>
      <w:r w:rsidRPr="0085794B">
        <w:rPr>
          <w:sz w:val="22"/>
          <w:szCs w:val="22"/>
        </w:rPr>
        <w:t>Článek IV. Doba plnění, dodací podmínky bod a) se nahrazuje textem:</w:t>
      </w:r>
    </w:p>
    <w:p w14:paraId="4B79BFFE" w14:textId="77777777" w:rsidR="005B3737" w:rsidRPr="0085794B" w:rsidRDefault="005B3737" w:rsidP="0085794B">
      <w:pPr>
        <w:pStyle w:val="Standard"/>
        <w:jc w:val="both"/>
        <w:rPr>
          <w:sz w:val="22"/>
          <w:szCs w:val="22"/>
        </w:rPr>
      </w:pPr>
    </w:p>
    <w:p w14:paraId="420D90B5" w14:textId="7E339958" w:rsidR="005B3737" w:rsidRPr="00CA4562" w:rsidRDefault="00F010F7" w:rsidP="0085794B">
      <w:pPr>
        <w:pStyle w:val="Standard"/>
        <w:numPr>
          <w:ilvl w:val="0"/>
          <w:numId w:val="4"/>
        </w:numPr>
        <w:jc w:val="both"/>
        <w:rPr>
          <w:rFonts w:eastAsia="MS Mincho;ＭＳ 明朝"/>
          <w:sz w:val="22"/>
          <w:szCs w:val="22"/>
        </w:rPr>
      </w:pPr>
      <w:r w:rsidRPr="0085794B">
        <w:rPr>
          <w:rFonts w:eastAsia="MS Mincho;ＭＳ 明朝"/>
          <w:sz w:val="22"/>
          <w:szCs w:val="22"/>
        </w:rPr>
        <w:t>Zhotovitel zprovozní software uvedený v článku II. a) této smlouvy objednateli v jeho virtuální infrastruktuře nejpozději do 31. 12. 2024. Smlouva se uzavírá na dobu určitou v trvání 6 měsíců od zprovoznění software uvedený v článku II. a) této smlouvy, přičemž konec platnosti smlouvy je dán posledním dnem kalendářního měsíce, v němž uplyne doba 6 měsíců. Smlouva může být ukončena dříve než za 6 měsíců v případě, že bude ukončeno zadávací řízení na dodavatele informačního systému pro transfúzní oddělení.</w:t>
      </w:r>
    </w:p>
    <w:p w14:paraId="1D754AB8" w14:textId="77777777" w:rsidR="005B3737" w:rsidRDefault="005B3737">
      <w:pPr>
        <w:pStyle w:val="Standard"/>
        <w:ind w:left="720"/>
        <w:jc w:val="both"/>
        <w:rPr>
          <w:rFonts w:eastAsia="MS Mincho;ＭＳ 明朝"/>
          <w:sz w:val="22"/>
          <w:szCs w:val="22"/>
        </w:rPr>
      </w:pPr>
    </w:p>
    <w:p w14:paraId="37C03BF4" w14:textId="77777777" w:rsidR="005B3737" w:rsidRDefault="00F010F7">
      <w:pPr>
        <w:pStyle w:val="Standard"/>
        <w:ind w:left="720"/>
        <w:jc w:val="center"/>
        <w:rPr>
          <w:rFonts w:eastAsia="MS Mincho;ＭＳ 明朝"/>
          <w:b/>
          <w:bCs/>
        </w:rPr>
      </w:pPr>
      <w:r>
        <w:rPr>
          <w:rFonts w:eastAsia="MS Mincho;ＭＳ 明朝"/>
          <w:b/>
          <w:bCs/>
        </w:rPr>
        <w:t>III. Závěrečná ujednání</w:t>
      </w:r>
    </w:p>
    <w:p w14:paraId="64C8C193" w14:textId="77777777" w:rsidR="005B3737" w:rsidRDefault="005B3737">
      <w:pPr>
        <w:pStyle w:val="Standard"/>
        <w:ind w:left="720"/>
        <w:jc w:val="center"/>
        <w:rPr>
          <w:rFonts w:eastAsia="MS Mincho;ＭＳ 明朝"/>
          <w:b/>
          <w:bCs/>
        </w:rPr>
      </w:pPr>
    </w:p>
    <w:p w14:paraId="04B71E9D" w14:textId="77777777" w:rsidR="005B3737" w:rsidRDefault="00F010F7" w:rsidP="0085794B">
      <w:pPr>
        <w:pStyle w:val="Zkladntext"/>
        <w:numPr>
          <w:ilvl w:val="0"/>
          <w:numId w:val="6"/>
        </w:numPr>
        <w:spacing w:after="0" w:line="240" w:lineRule="auto"/>
        <w:jc w:val="both"/>
        <w:textAlignment w:val="auto"/>
      </w:pPr>
      <w:r>
        <w:rPr>
          <w:rFonts w:cs="Times New Roman"/>
          <w:sz w:val="22"/>
          <w:szCs w:val="22"/>
        </w:rPr>
        <w:t>Tento Dodatek č. 1 nabývá platnosti dnem jeho podpisu oběma smluvními stranami a účinnosti dnem uveřejnění v registru smluv.</w:t>
      </w:r>
    </w:p>
    <w:p w14:paraId="001E2A55" w14:textId="7AFB7E0B" w:rsidR="005B3737" w:rsidRDefault="00F010F7" w:rsidP="0085794B">
      <w:pPr>
        <w:pStyle w:val="Odstavecseseznamem"/>
        <w:numPr>
          <w:ilvl w:val="0"/>
          <w:numId w:val="6"/>
        </w:numPr>
        <w:jc w:val="both"/>
      </w:pPr>
      <w:r>
        <w:rPr>
          <w:sz w:val="22"/>
          <w:szCs w:val="22"/>
        </w:rPr>
        <w:t>Na tento dodatek č. 1, včetně původní smlouvy, se vztahuje povinnost uveřejnění prostřednictvím registru smluv dle zákona č. 340/2015 Sb., o zvláštních podmínkách účinnosti některých smluv, uveřejňování těchto smluv a o registru smluv (zákon o registru smluv), v</w:t>
      </w:r>
      <w:r w:rsidR="00CA4562">
        <w:rPr>
          <w:sz w:val="22"/>
          <w:szCs w:val="22"/>
        </w:rPr>
        <w:t> </w:t>
      </w:r>
      <w:r>
        <w:rPr>
          <w:sz w:val="22"/>
          <w:szCs w:val="22"/>
        </w:rPr>
        <w:t>platném znění. Obě smluvní strany souhlasí s tímto uveřejněním a sjednávají, že správci registru smluv zašle tento dodatek včetně původní smlouvy k uveřejnění prostřednictvím registru smluv objednatel. Objednatel bude při přípravě dokumentu k uveřejnění vycházet z</w:t>
      </w:r>
      <w:r w:rsidR="00CA4562">
        <w:rPr>
          <w:sz w:val="22"/>
          <w:szCs w:val="22"/>
        </w:rPr>
        <w:t> </w:t>
      </w:r>
      <w:r>
        <w:rPr>
          <w:sz w:val="22"/>
          <w:szCs w:val="22"/>
        </w:rPr>
        <w:t>písemných (e-mail) pokynů zhotovitele, a to zejména ve věci znečitelnění obchodního tajemství, osobních údajů a jiných zákonem chráněných údajů. Pokud k písemnému (e-mail) sdělení zhotovitele o</w:t>
      </w:r>
      <w:r w:rsidR="00CA4562">
        <w:rPr>
          <w:sz w:val="22"/>
          <w:szCs w:val="22"/>
        </w:rPr>
        <w:t> </w:t>
      </w:r>
      <w:r>
        <w:rPr>
          <w:sz w:val="22"/>
          <w:szCs w:val="22"/>
        </w:rPr>
        <w:t xml:space="preserve">znečitelnění konkrétních údajů ve smlouvě nedojde ještě před uzavřením smlouvy, potvrzuje tímto zhotovitel, že výslovně souhlasí s uveřejněním smlouvy v plném rozsahu. </w:t>
      </w:r>
    </w:p>
    <w:p w14:paraId="6A41FA68" w14:textId="70190EC1" w:rsidR="005B3737" w:rsidRDefault="00F010F7" w:rsidP="0085794B">
      <w:pPr>
        <w:pStyle w:val="Zkladntext"/>
        <w:numPr>
          <w:ilvl w:val="0"/>
          <w:numId w:val="6"/>
        </w:numPr>
        <w:spacing w:after="0" w:line="240" w:lineRule="auto"/>
        <w:jc w:val="both"/>
        <w:textAlignment w:val="auto"/>
      </w:pPr>
      <w:r w:rsidRPr="00CA4562">
        <w:rPr>
          <w:rFonts w:cs="Times New Roman"/>
          <w:sz w:val="22"/>
          <w:szCs w:val="22"/>
        </w:rPr>
        <w:t>Tento Dodatek č. 1 je vyhotoven ve dvou stejnopisech, z nichž každá ze smluvních stran obdrží</w:t>
      </w:r>
      <w:r w:rsidR="00CA4562">
        <w:rPr>
          <w:rFonts w:cs="Times New Roman"/>
          <w:sz w:val="22"/>
          <w:szCs w:val="22"/>
        </w:rPr>
        <w:t xml:space="preserve"> </w:t>
      </w:r>
      <w:r w:rsidRPr="00CA4562">
        <w:rPr>
          <w:rFonts w:cs="Times New Roman"/>
          <w:sz w:val="22"/>
          <w:szCs w:val="22"/>
        </w:rPr>
        <w:t>po jednom.</w:t>
      </w:r>
    </w:p>
    <w:p w14:paraId="5857AB27" w14:textId="3AB43D21" w:rsidR="005B3737" w:rsidRDefault="00F010F7" w:rsidP="0085794B">
      <w:pPr>
        <w:pStyle w:val="Zkladntext"/>
        <w:numPr>
          <w:ilvl w:val="0"/>
          <w:numId w:val="6"/>
        </w:numPr>
        <w:spacing w:after="0" w:line="240" w:lineRule="auto"/>
        <w:jc w:val="both"/>
        <w:textAlignment w:val="auto"/>
      </w:pPr>
      <w:r w:rsidRPr="00CA4562">
        <w:rPr>
          <w:rFonts w:cs="Times New Roman"/>
          <w:sz w:val="22"/>
          <w:szCs w:val="22"/>
        </w:rPr>
        <w:t>Smluvní strany prohlašují, že si tento Dodatek č. 1 před jeho podpisem přečetly a na důkaz</w:t>
      </w:r>
      <w:r w:rsidR="00CA4562">
        <w:rPr>
          <w:rFonts w:cs="Times New Roman"/>
          <w:sz w:val="22"/>
          <w:szCs w:val="22"/>
        </w:rPr>
        <w:t xml:space="preserve"> </w:t>
      </w:r>
      <w:r w:rsidRPr="00CA4562">
        <w:rPr>
          <w:rFonts w:cs="Times New Roman"/>
          <w:sz w:val="22"/>
          <w:szCs w:val="22"/>
        </w:rPr>
        <w:t>souhlasu s jeho obsahem připojují své podpisy.</w:t>
      </w:r>
    </w:p>
    <w:p w14:paraId="364DEA09" w14:textId="77777777" w:rsidR="005B3737" w:rsidRDefault="005B3737">
      <w:pPr>
        <w:pStyle w:val="Standard"/>
        <w:ind w:left="720"/>
        <w:rPr>
          <w:rFonts w:eastAsia="MS Mincho;ＭＳ 明朝"/>
          <w:sz w:val="22"/>
          <w:szCs w:val="22"/>
        </w:rPr>
      </w:pPr>
    </w:p>
    <w:p w14:paraId="66182E96" w14:textId="77777777" w:rsidR="005B3737" w:rsidRDefault="005B3737">
      <w:pPr>
        <w:pStyle w:val="Standard"/>
        <w:ind w:left="720"/>
        <w:rPr>
          <w:rFonts w:eastAsia="MS Mincho;ＭＳ 明朝"/>
          <w:sz w:val="22"/>
          <w:szCs w:val="22"/>
        </w:rPr>
      </w:pPr>
    </w:p>
    <w:p w14:paraId="24AB689E" w14:textId="4F0BB1F6" w:rsidR="005B3737" w:rsidRDefault="00CA4562" w:rsidP="0085794B">
      <w:pPr>
        <w:pStyle w:val="Standard"/>
        <w:tabs>
          <w:tab w:val="center" w:pos="1985"/>
          <w:tab w:val="center" w:pos="7088"/>
        </w:tabs>
      </w:pPr>
      <w:r>
        <w:rPr>
          <w:rFonts w:eastAsia="MS Mincho;ＭＳ 明朝"/>
          <w:sz w:val="22"/>
          <w:szCs w:val="22"/>
        </w:rPr>
        <w:tab/>
      </w:r>
      <w:r w:rsidR="00F010F7">
        <w:rPr>
          <w:b/>
          <w:bCs/>
          <w:sz w:val="22"/>
        </w:rPr>
        <w:t>TIS Brno s.r.o.</w:t>
      </w:r>
      <w:r>
        <w:rPr>
          <w:b/>
          <w:bCs/>
          <w:sz w:val="22"/>
        </w:rPr>
        <w:tab/>
      </w:r>
      <w:r w:rsidR="00F010F7">
        <w:rPr>
          <w:b/>
          <w:bCs/>
          <w:sz w:val="22"/>
        </w:rPr>
        <w:t>Oblastní nemocnice Trutnov a.s.</w:t>
      </w:r>
    </w:p>
    <w:p w14:paraId="5ED93024" w14:textId="0E879766" w:rsidR="005B3737" w:rsidRDefault="00CA4562" w:rsidP="0085794B">
      <w:pPr>
        <w:pStyle w:val="Standard"/>
        <w:tabs>
          <w:tab w:val="center" w:pos="1985"/>
          <w:tab w:val="center" w:pos="7088"/>
        </w:tabs>
        <w:rPr>
          <w:sz w:val="22"/>
        </w:rPr>
      </w:pPr>
      <w:r>
        <w:rPr>
          <w:sz w:val="22"/>
        </w:rPr>
        <w:tab/>
      </w:r>
      <w:r w:rsidR="00F010F7">
        <w:rPr>
          <w:sz w:val="22"/>
        </w:rPr>
        <w:t xml:space="preserve">Datum: dle data el. </w:t>
      </w:r>
      <w:r>
        <w:rPr>
          <w:sz w:val="22"/>
        </w:rPr>
        <w:t>p</w:t>
      </w:r>
      <w:r w:rsidR="00F010F7">
        <w:rPr>
          <w:sz w:val="22"/>
        </w:rPr>
        <w:t>odpisu</w:t>
      </w:r>
      <w:r>
        <w:rPr>
          <w:sz w:val="22"/>
        </w:rPr>
        <w:tab/>
      </w:r>
      <w:r w:rsidR="00F010F7">
        <w:rPr>
          <w:sz w:val="22"/>
        </w:rPr>
        <w:t>Datum: dle data el. podpisu</w:t>
      </w:r>
    </w:p>
    <w:p w14:paraId="68894163" w14:textId="77777777" w:rsidR="007D3897" w:rsidRDefault="007D3897" w:rsidP="0085794B">
      <w:pPr>
        <w:pStyle w:val="Standard"/>
        <w:tabs>
          <w:tab w:val="center" w:pos="1985"/>
          <w:tab w:val="center" w:pos="7088"/>
        </w:tabs>
        <w:rPr>
          <w:sz w:val="22"/>
        </w:rPr>
      </w:pPr>
    </w:p>
    <w:p w14:paraId="7B9B8279" w14:textId="77777777" w:rsidR="007D3897" w:rsidRDefault="007D3897" w:rsidP="0085794B">
      <w:pPr>
        <w:pStyle w:val="Standard"/>
        <w:tabs>
          <w:tab w:val="center" w:pos="1985"/>
          <w:tab w:val="center" w:pos="7088"/>
        </w:tabs>
      </w:pPr>
    </w:p>
    <w:p w14:paraId="4D18BE80" w14:textId="52C9539C" w:rsidR="005B3737" w:rsidRDefault="007D3897">
      <w:pPr>
        <w:pStyle w:val="Standard"/>
        <w:rPr>
          <w:sz w:val="22"/>
        </w:rPr>
      </w:pPr>
      <w:r>
        <w:rPr>
          <w:sz w:val="22"/>
        </w:rPr>
        <w:t>21.1.2025</w:t>
      </w:r>
    </w:p>
    <w:sectPr w:rsidR="005B3737">
      <w:headerReference w:type="default" r:id="rId8"/>
      <w:footerReference w:type="default" r:id="rId9"/>
      <w:pgSz w:w="11906" w:h="16838"/>
      <w:pgMar w:top="1078" w:right="1418" w:bottom="907" w:left="1418" w:header="1021" w:footer="567" w:gutter="0"/>
      <w:cols w:space="708"/>
      <w:formProt w:val="0"/>
      <w:docGrid w:linePitch="24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1F201" w14:textId="77777777" w:rsidR="008D514C" w:rsidRDefault="008D514C">
      <w:r>
        <w:separator/>
      </w:r>
    </w:p>
  </w:endnote>
  <w:endnote w:type="continuationSeparator" w:id="0">
    <w:p w14:paraId="7F75B87B" w14:textId="77777777" w:rsidR="008D514C" w:rsidRDefault="008D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Mincho;ＭＳ 明朝">
    <w:panose1 w:val="00000000000000000000"/>
    <w:charset w:val="80"/>
    <w:family w:val="roman"/>
    <w:notTrueType/>
    <w:pitch w:val="default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3D6DE" w14:textId="77777777" w:rsidR="005B3737" w:rsidRDefault="005B3737">
    <w:pPr>
      <w:pStyle w:val="Zpat"/>
      <w:tabs>
        <w:tab w:val="left" w:pos="2520"/>
        <w:tab w:val="left" w:pos="5400"/>
        <w:tab w:val="left" w:pos="7560"/>
      </w:tabs>
      <w:jc w:val="center"/>
      <w:rPr>
        <w:b/>
        <w:bCs/>
        <w:color w:val="000000"/>
        <w:sz w:val="20"/>
      </w:rPr>
    </w:pPr>
  </w:p>
  <w:p w14:paraId="14A6F345" w14:textId="77777777" w:rsidR="005B3737" w:rsidRDefault="00F010F7">
    <w:pPr>
      <w:pStyle w:val="Zpat"/>
      <w:tabs>
        <w:tab w:val="left" w:pos="2520"/>
        <w:tab w:val="left" w:pos="5400"/>
        <w:tab w:val="left" w:pos="7560"/>
      </w:tabs>
      <w:jc w:val="center"/>
    </w:pPr>
    <w:r>
      <w:rPr>
        <w:b/>
        <w:bCs/>
        <w:color w:val="000000"/>
        <w:sz w:val="20"/>
      </w:rPr>
      <w:t>TIS Brno, s. r. o.</w:t>
    </w:r>
    <w:r>
      <w:rPr>
        <w:color w:val="000000"/>
        <w:sz w:val="20"/>
      </w:rPr>
      <w:t>, Křtiny 221, 679 05 Křtiny</w:t>
    </w:r>
  </w:p>
  <w:p w14:paraId="63CF51D7" w14:textId="77777777" w:rsidR="005B3737" w:rsidRDefault="005B3737">
    <w:pPr>
      <w:pStyle w:val="Zpat"/>
      <w:tabs>
        <w:tab w:val="left" w:pos="2520"/>
        <w:tab w:val="left" w:pos="5400"/>
        <w:tab w:val="left" w:pos="7560"/>
      </w:tabs>
      <w:rPr>
        <w:b/>
        <w:bCs/>
        <w:color w:val="000000"/>
        <w:sz w:val="20"/>
      </w:rPr>
    </w:pPr>
  </w:p>
  <w:p w14:paraId="238392A7" w14:textId="77777777" w:rsidR="005B3737" w:rsidRDefault="00F010F7">
    <w:pPr>
      <w:pStyle w:val="Zpat"/>
      <w:tabs>
        <w:tab w:val="left" w:pos="2520"/>
        <w:tab w:val="left" w:pos="5400"/>
        <w:tab w:val="left" w:pos="7560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628282B5" wp14:editId="43DD4CC5">
              <wp:simplePos x="0" y="0"/>
              <wp:positionH relativeFrom="column">
                <wp:posOffset>3175</wp:posOffset>
              </wp:positionH>
              <wp:positionV relativeFrom="paragraph">
                <wp:posOffset>-110490</wp:posOffset>
              </wp:positionV>
              <wp:extent cx="5716270" cy="0"/>
              <wp:effectExtent l="0" t="5080" r="635" b="508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64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3366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C122B1" id="Přímá spojnice 2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25pt,-8.7pt" to="450.3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" strokecolor="#36f" strokeweight=".26mm">
              <v:stroke joinstyle="miter"/>
            </v:line>
          </w:pict>
        </mc:Fallback>
      </mc:AlternateContent>
    </w:r>
    <w:r>
      <w:rPr>
        <w:color w:val="000000"/>
        <w:sz w:val="16"/>
      </w:rPr>
      <w:t>Firma je zapsána v Obchodním rejstříku vedeném Krajským soudem v Brně, oddíl C, vložka 46968</w:t>
    </w:r>
  </w:p>
  <w:p w14:paraId="099DD994" w14:textId="77777777" w:rsidR="005B3737" w:rsidRDefault="00F010F7">
    <w:pPr>
      <w:pStyle w:val="Zpat"/>
      <w:tabs>
        <w:tab w:val="left" w:pos="3600"/>
        <w:tab w:val="left" w:pos="6300"/>
      </w:tabs>
      <w:rPr>
        <w:color w:val="000000"/>
        <w:sz w:val="16"/>
      </w:rPr>
    </w:pPr>
    <w:r>
      <w:rPr>
        <w:color w:val="000000"/>
        <w:sz w:val="16"/>
      </w:rPr>
      <w:tab/>
    </w:r>
    <w:r>
      <w:rPr>
        <w:color w:val="000000"/>
        <w:sz w:val="16"/>
      </w:rPr>
      <w:tab/>
    </w:r>
    <w:r>
      <w:rPr>
        <w:color w:val="000000"/>
        <w:sz w:val="16"/>
      </w:rPr>
      <w:tab/>
    </w:r>
  </w:p>
  <w:p w14:paraId="07B0AC21" w14:textId="77777777" w:rsidR="005B3737" w:rsidRDefault="00F010F7">
    <w:pPr>
      <w:pStyle w:val="Zpat"/>
      <w:tabs>
        <w:tab w:val="left" w:pos="1980"/>
        <w:tab w:val="left" w:pos="2340"/>
        <w:tab w:val="left" w:pos="3600"/>
        <w:tab w:val="left" w:pos="4860"/>
        <w:tab w:val="left" w:pos="6120"/>
      </w:tabs>
    </w:pPr>
    <w:r>
      <w:rPr>
        <w:color w:val="000000"/>
        <w:sz w:val="16"/>
      </w:rPr>
      <w:t>Mobil: 603 244 545</w:t>
    </w:r>
    <w:r>
      <w:rPr>
        <w:color w:val="000000"/>
        <w:sz w:val="16"/>
      </w:rPr>
      <w:tab/>
      <w:t xml:space="preserve">Bankovní </w:t>
    </w:r>
    <w:proofErr w:type="gramStart"/>
    <w:r>
      <w:rPr>
        <w:color w:val="000000"/>
        <w:sz w:val="16"/>
      </w:rPr>
      <w:t>spojení:  Raiffeisenbank</w:t>
    </w:r>
    <w:proofErr w:type="gramEnd"/>
    <w:r>
      <w:rPr>
        <w:color w:val="000000"/>
        <w:sz w:val="16"/>
      </w:rPr>
      <w:t xml:space="preserve"> a. s.</w:t>
    </w:r>
    <w:r>
      <w:rPr>
        <w:color w:val="000000"/>
        <w:sz w:val="16"/>
      </w:rPr>
      <w:tab/>
      <w:t xml:space="preserve">              IČ: 269 38 944</w:t>
    </w:r>
    <w:r>
      <w:rPr>
        <w:color w:val="000000"/>
        <w:sz w:val="16"/>
      </w:rPr>
      <w:tab/>
    </w:r>
    <w:r>
      <w:rPr>
        <w:color w:val="000000"/>
        <w:sz w:val="16"/>
      </w:rPr>
      <w:tab/>
    </w:r>
    <w:hyperlink r:id="rId1">
      <w:r>
        <w:rPr>
          <w:rStyle w:val="Hypertextovodkaz"/>
          <w:color w:val="000000"/>
          <w:sz w:val="16"/>
        </w:rPr>
        <w:t>info</w:t>
      </w:r>
    </w:hyperlink>
    <w:hyperlink r:id="rId2">
      <w:r>
        <w:rPr>
          <w:rStyle w:val="Hypertextovodkaz"/>
          <w:rFonts w:ascii="Estrangelo Edessa" w:hAnsi="Estrangelo Edessa"/>
          <w:color w:val="000000"/>
          <w:sz w:val="16"/>
        </w:rPr>
        <w:t>@</w:t>
      </w:r>
    </w:hyperlink>
    <w:hyperlink r:id="rId3">
      <w:r>
        <w:rPr>
          <w:rStyle w:val="Hypertextovodkaz"/>
          <w:color w:val="000000"/>
          <w:sz w:val="16"/>
        </w:rPr>
        <w:t>tis-brno.cz</w:t>
      </w:r>
    </w:hyperlink>
  </w:p>
  <w:p w14:paraId="1FC82BA8" w14:textId="77777777" w:rsidR="005B3737" w:rsidRDefault="00F010F7">
    <w:pPr>
      <w:pStyle w:val="Zpat"/>
      <w:tabs>
        <w:tab w:val="left" w:pos="1620"/>
        <w:tab w:val="left" w:pos="1800"/>
        <w:tab w:val="left" w:pos="1980"/>
        <w:tab w:val="left" w:pos="2340"/>
        <w:tab w:val="left" w:pos="4860"/>
        <w:tab w:val="left" w:pos="6120"/>
        <w:tab w:val="left" w:pos="7560"/>
      </w:tabs>
    </w:pPr>
    <w:r>
      <w:rPr>
        <w:color w:val="000000"/>
        <w:sz w:val="16"/>
      </w:rPr>
      <w:t>Fax: 543 245 537</w:t>
    </w:r>
    <w:r>
      <w:rPr>
        <w:color w:val="000000"/>
        <w:sz w:val="16"/>
      </w:rPr>
      <w:tab/>
    </w:r>
    <w:r>
      <w:rPr>
        <w:color w:val="000000"/>
        <w:sz w:val="16"/>
      </w:rPr>
      <w:tab/>
    </w:r>
    <w:r>
      <w:rPr>
        <w:color w:val="000000"/>
        <w:sz w:val="16"/>
      </w:rPr>
      <w:tab/>
      <w:t xml:space="preserve">č. </w:t>
    </w:r>
    <w:proofErr w:type="spellStart"/>
    <w:r>
      <w:rPr>
        <w:color w:val="000000"/>
        <w:sz w:val="16"/>
      </w:rPr>
      <w:t>ú.</w:t>
    </w:r>
    <w:proofErr w:type="spellEnd"/>
    <w:r>
      <w:rPr>
        <w:color w:val="000000"/>
        <w:sz w:val="16"/>
      </w:rPr>
      <w:t xml:space="preserve"> 366479028 / 2400 </w:t>
    </w:r>
    <w:r>
      <w:rPr>
        <w:color w:val="000000"/>
        <w:sz w:val="16"/>
      </w:rPr>
      <w:tab/>
    </w:r>
    <w:r>
      <w:rPr>
        <w:color w:val="000000"/>
        <w:sz w:val="16"/>
      </w:rPr>
      <w:tab/>
      <w:t xml:space="preserve">     DIČ: CZ269 38 944 </w:t>
    </w:r>
    <w:r>
      <w:rPr>
        <w:color w:val="000000"/>
        <w:sz w:val="16"/>
      </w:rPr>
      <w:tab/>
      <w:t xml:space="preserve">           </w:t>
    </w:r>
    <w:hyperlink r:id="rId4">
      <w:r>
        <w:rPr>
          <w:rStyle w:val="Hypertextovodkaz"/>
          <w:color w:val="000000"/>
          <w:sz w:val="16"/>
        </w:rPr>
        <w:t>www.tis-brno.cz</w:t>
      </w:r>
    </w:hyperlink>
    <w:r>
      <w:rPr>
        <w:color w:val="000000"/>
        <w:sz w:val="16"/>
      </w:rPr>
      <w:tab/>
    </w:r>
  </w:p>
  <w:p w14:paraId="5D3F9250" w14:textId="77777777" w:rsidR="005B3737" w:rsidRDefault="00F010F7">
    <w:pPr>
      <w:pStyle w:val="Zpat"/>
      <w:tabs>
        <w:tab w:val="left" w:pos="2340"/>
        <w:tab w:val="left" w:pos="4860"/>
        <w:tab w:val="left" w:pos="6120"/>
        <w:tab w:val="left" w:pos="7560"/>
      </w:tabs>
      <w:jc w:val="center"/>
    </w:pPr>
    <w:r>
      <w:rPr>
        <w:color w:val="000000"/>
        <w:sz w:val="16"/>
      </w:rPr>
      <w:t xml:space="preserve">- </w:t>
    </w:r>
    <w:r>
      <w:rPr>
        <w:color w:val="000000"/>
        <w:sz w:val="16"/>
      </w:rPr>
      <w:fldChar w:fldCharType="begin"/>
    </w:r>
    <w:r>
      <w:rPr>
        <w:color w:val="000000"/>
        <w:sz w:val="16"/>
      </w:rPr>
      <w:instrText xml:space="preserve"> PAGE </w:instrText>
    </w:r>
    <w:r>
      <w:rPr>
        <w:color w:val="000000"/>
        <w:sz w:val="16"/>
      </w:rPr>
      <w:fldChar w:fldCharType="separate"/>
    </w:r>
    <w:r>
      <w:rPr>
        <w:color w:val="000000"/>
        <w:sz w:val="16"/>
      </w:rPr>
      <w:t>2</w:t>
    </w:r>
    <w:r>
      <w:rPr>
        <w:color w:val="000000"/>
        <w:sz w:val="16"/>
      </w:rPr>
      <w:fldChar w:fldCharType="end"/>
    </w:r>
    <w:r>
      <w:rPr>
        <w:color w:val="000000"/>
        <w:sz w:val="16"/>
      </w:rPr>
      <w:t xml:space="preserve"> -</w:t>
    </w:r>
  </w:p>
  <w:p w14:paraId="6ADCEF6F" w14:textId="77777777" w:rsidR="005B3737" w:rsidRDefault="005B3737">
    <w:pPr>
      <w:pStyle w:val="Zpat"/>
      <w:tabs>
        <w:tab w:val="left" w:pos="3420"/>
        <w:tab w:val="left" w:pos="6120"/>
      </w:tabs>
      <w:rPr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70B8" w14:textId="77777777" w:rsidR="008D514C" w:rsidRDefault="008D514C">
      <w:r>
        <w:separator/>
      </w:r>
    </w:p>
  </w:footnote>
  <w:footnote w:type="continuationSeparator" w:id="0">
    <w:p w14:paraId="1386D7E5" w14:textId="77777777" w:rsidR="008D514C" w:rsidRDefault="008D5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9AE77" w14:textId="77777777" w:rsidR="005B3737" w:rsidRDefault="00F010F7">
    <w:pPr>
      <w:pStyle w:val="Nzev"/>
      <w:jc w:val="right"/>
    </w:pPr>
    <w:r>
      <w:rPr>
        <w:noProof/>
      </w:rPr>
      <w:drawing>
        <wp:anchor distT="0" distB="0" distL="114300" distR="114300" simplePos="0" relativeHeight="5" behindDoc="0" locked="0" layoutInCell="0" allowOverlap="1" wp14:anchorId="2E6BDF73" wp14:editId="7B6811DF">
          <wp:simplePos x="0" y="0"/>
          <wp:positionH relativeFrom="column">
            <wp:posOffset>27305</wp:posOffset>
          </wp:positionH>
          <wp:positionV relativeFrom="paragraph">
            <wp:posOffset>-33655</wp:posOffset>
          </wp:positionV>
          <wp:extent cx="899795" cy="716280"/>
          <wp:effectExtent l="0" t="0" r="0" b="0"/>
          <wp:wrapTopAndBottom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</w:rPr>
      <w:t>Dodatek č. 1</w:t>
    </w:r>
  </w:p>
  <w:p w14:paraId="08C6C72D" w14:textId="02C7E7A5" w:rsidR="005B3737" w:rsidRDefault="00F010F7">
    <w:pPr>
      <w:pStyle w:val="Prosttext1"/>
      <w:jc w:val="right"/>
      <w:rPr>
        <w:rFonts w:ascii="Times New Roman" w:eastAsia="MS Mincho" w:hAnsi="Times New Roman" w:cs="Times New Roman"/>
        <w:b/>
        <w:bCs/>
        <w:sz w:val="26"/>
        <w:szCs w:val="26"/>
      </w:rPr>
    </w:pPr>
    <w:r w:rsidRPr="0085794B">
      <w:rPr>
        <w:rFonts w:ascii="Times New Roman" w:eastAsia="MS Mincho" w:hAnsi="Times New Roman" w:cs="Times New Roman"/>
        <w:b/>
        <w:bCs/>
        <w:sz w:val="26"/>
        <w:szCs w:val="26"/>
      </w:rPr>
      <w:tab/>
    </w:r>
    <w:r>
      <w:rPr>
        <w:rFonts w:ascii="Times New Roman" w:eastAsia="MS Mincho" w:hAnsi="Times New Roman" w:cs="Times New Roman"/>
        <w:b/>
        <w:bCs/>
        <w:sz w:val="26"/>
        <w:szCs w:val="26"/>
      </w:rPr>
      <w:t>Smlouvy o poskytnutí pronájmu licence softwaru a služeb podpory</w:t>
    </w:r>
  </w:p>
  <w:p w14:paraId="4CD3C8D0" w14:textId="77777777" w:rsidR="005B3737" w:rsidRDefault="005B3737">
    <w:pPr>
      <w:pStyle w:val="Prosttext1"/>
      <w:jc w:val="right"/>
      <w:rPr>
        <w:rFonts w:ascii="Times New Roman" w:eastAsia="MS Mincho" w:hAnsi="Times New Roman" w:cs="Times New Roman"/>
        <w:b/>
        <w:bCs/>
        <w:sz w:val="32"/>
        <w:szCs w:val="32"/>
      </w:rPr>
    </w:pPr>
  </w:p>
  <w:p w14:paraId="73CBA7A1" w14:textId="77777777" w:rsidR="005B3737" w:rsidRDefault="005B3737">
    <w:pPr>
      <w:pStyle w:val="Vodorovnra"/>
    </w:pPr>
  </w:p>
  <w:p w14:paraId="66EAC40C" w14:textId="77777777" w:rsidR="005B3737" w:rsidRDefault="005B373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41EB1"/>
    <w:multiLevelType w:val="multilevel"/>
    <w:tmpl w:val="399EDC4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45412468"/>
    <w:multiLevelType w:val="multilevel"/>
    <w:tmpl w:val="D2CA219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11F5851"/>
    <w:multiLevelType w:val="multilevel"/>
    <w:tmpl w:val="CC7C4F3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9E8547F"/>
    <w:multiLevelType w:val="hybridMultilevel"/>
    <w:tmpl w:val="9C1A0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277B2"/>
    <w:multiLevelType w:val="hybridMultilevel"/>
    <w:tmpl w:val="86FE51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87AD3"/>
    <w:multiLevelType w:val="hybridMultilevel"/>
    <w:tmpl w:val="A2D2DC4C"/>
    <w:lvl w:ilvl="0" w:tplc="5A9810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46582">
    <w:abstractNumId w:val="2"/>
  </w:num>
  <w:num w:numId="2" w16cid:durableId="250967531">
    <w:abstractNumId w:val="0"/>
  </w:num>
  <w:num w:numId="3" w16cid:durableId="2000961519">
    <w:abstractNumId w:val="1"/>
  </w:num>
  <w:num w:numId="4" w16cid:durableId="1681199614">
    <w:abstractNumId w:val="4"/>
  </w:num>
  <w:num w:numId="5" w16cid:durableId="2135370582">
    <w:abstractNumId w:val="5"/>
  </w:num>
  <w:num w:numId="6" w16cid:durableId="941649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37"/>
    <w:rsid w:val="003D7C76"/>
    <w:rsid w:val="005B3737"/>
    <w:rsid w:val="006042CA"/>
    <w:rsid w:val="007D3897"/>
    <w:rsid w:val="0085794B"/>
    <w:rsid w:val="0087437A"/>
    <w:rsid w:val="008D514C"/>
    <w:rsid w:val="009308E0"/>
    <w:rsid w:val="00B72A8F"/>
    <w:rsid w:val="00C8144D"/>
    <w:rsid w:val="00CA4562"/>
    <w:rsid w:val="00CF7690"/>
    <w:rsid w:val="00E113DA"/>
    <w:rsid w:val="00E51185"/>
    <w:rsid w:val="00F0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41B2"/>
  <w15:docId w15:val="{2F395F78-24A1-4889-BC40-39A17515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roid Sans Fallback" w:hAnsi="Times New Roman" w:cs="Lohit Hindi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extAlignment w:val="baseline"/>
    </w:pPr>
  </w:style>
  <w:style w:type="paragraph" w:styleId="Nadpis1">
    <w:name w:val="heading 1"/>
    <w:uiPriority w:val="9"/>
    <w:qFormat/>
    <w:pPr>
      <w:keepNext/>
      <w:widowControl w:val="0"/>
      <w:jc w:val="center"/>
      <w:textAlignment w:val="baseline"/>
      <w:outlineLvl w:val="0"/>
    </w:pPr>
    <w:rPr>
      <w:sz w:val="36"/>
    </w:rPr>
  </w:style>
  <w:style w:type="paragraph" w:styleId="Nadpis2">
    <w:name w:val="heading 2"/>
    <w:uiPriority w:val="9"/>
    <w:unhideWhenUsed/>
    <w:qFormat/>
    <w:pPr>
      <w:keepNext/>
      <w:widowControl w:val="0"/>
      <w:jc w:val="center"/>
      <w:textAlignment w:val="baseline"/>
      <w:outlineLvl w:val="1"/>
    </w:pPr>
    <w:rPr>
      <w:b/>
      <w:bCs/>
    </w:rPr>
  </w:style>
  <w:style w:type="paragraph" w:styleId="Nadpis3">
    <w:name w:val="heading 3"/>
    <w:uiPriority w:val="9"/>
    <w:unhideWhenUsed/>
    <w:qFormat/>
    <w:pPr>
      <w:keepNext/>
      <w:widowControl w:val="0"/>
      <w:jc w:val="center"/>
      <w:textAlignment w:val="baseline"/>
      <w:outlineLvl w:val="2"/>
    </w:pPr>
    <w:rPr>
      <w:b/>
      <w:bCs/>
      <w:sz w:val="32"/>
    </w:rPr>
  </w:style>
  <w:style w:type="paragraph" w:styleId="Nadpis4">
    <w:name w:val="heading 4"/>
    <w:uiPriority w:val="9"/>
    <w:semiHidden/>
    <w:unhideWhenUsed/>
    <w:qFormat/>
    <w:pPr>
      <w:keepNext/>
      <w:widowControl w:val="0"/>
      <w:tabs>
        <w:tab w:val="left" w:pos="720"/>
      </w:tabs>
      <w:ind w:left="360" w:hanging="360"/>
      <w:jc w:val="center"/>
      <w:textAlignment w:val="baseline"/>
      <w:outlineLvl w:val="3"/>
    </w:pPr>
    <w:rPr>
      <w:b/>
      <w:bCs/>
      <w:sz w:val="32"/>
    </w:rPr>
  </w:style>
  <w:style w:type="paragraph" w:styleId="Nadpis5">
    <w:name w:val="heading 5"/>
    <w:uiPriority w:val="9"/>
    <w:semiHidden/>
    <w:unhideWhenUsed/>
    <w:qFormat/>
    <w:pPr>
      <w:keepNext/>
      <w:widowControl w:val="0"/>
      <w:ind w:left="5664" w:hanging="4956"/>
      <w:jc w:val="center"/>
      <w:textAlignment w:val="baseline"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17z0">
    <w:name w:val="WW8Num17z0"/>
    <w:qFormat/>
    <w:rPr>
      <w:b w:val="0"/>
    </w:rPr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Navtveninternetovodkaz">
    <w:name w:val="Navštívený internetový odkaz"/>
    <w:basedOn w:val="Standardnpsmoodstavce"/>
    <w:qFormat/>
    <w:rPr>
      <w:color w:val="800080"/>
      <w:u w:val="single"/>
    </w:rPr>
  </w:style>
  <w:style w:type="character" w:customStyle="1" w:styleId="TextbublinyChar">
    <w:name w:val="Text bubliny Char"/>
    <w:basedOn w:val="Standardnpsmoodstavce"/>
    <w:qFormat/>
    <w:rPr>
      <w:rFonts w:ascii="Tahoma" w:hAnsi="Tahoma" w:cs="Mangal"/>
      <w:sz w:val="16"/>
      <w:szCs w:val="14"/>
    </w:rPr>
  </w:style>
  <w:style w:type="character" w:customStyle="1" w:styleId="Symbolyproslovn">
    <w:name w:val="Symboly pro číslování"/>
    <w:qFormat/>
  </w:style>
  <w:style w:type="character" w:styleId="Hypertextovodkaz">
    <w:name w:val="Hyperlink"/>
    <w:rPr>
      <w:color w:val="000080"/>
      <w:u w:val="single"/>
    </w:rPr>
  </w:style>
  <w:style w:type="character" w:styleId="slodku">
    <w:name w:val="line number"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Lohit Hindi"/>
    </w:rPr>
  </w:style>
  <w:style w:type="paragraph" w:styleId="Titulek">
    <w:name w:val="caption"/>
    <w:basedOn w:val="Standard"/>
    <w:next w:val="Standard"/>
    <w:qFormat/>
    <w:pPr>
      <w:tabs>
        <w:tab w:val="left" w:pos="720"/>
      </w:tabs>
      <w:ind w:left="360" w:hanging="360"/>
      <w:jc w:val="both"/>
    </w:pPr>
    <w:rPr>
      <w:b/>
      <w:b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Nadpis">
    <w:name w:val="Nadpis"/>
    <w:basedOn w:val="Standard"/>
    <w:next w:val="Zkladntext"/>
    <w:qFormat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Rejstk">
    <w:name w:val="Rejstřík"/>
    <w:basedOn w:val="Standard"/>
    <w:qFormat/>
    <w:pPr>
      <w:suppressLineNumbers/>
    </w:pPr>
    <w:rPr>
      <w:rFonts w:cs="Lohit Hindi"/>
    </w:rPr>
  </w:style>
  <w:style w:type="paragraph" w:customStyle="1" w:styleId="Standard">
    <w:name w:val="Standard"/>
    <w:qFormat/>
    <w:pPr>
      <w:textAlignment w:val="baseline"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Nzev">
    <w:name w:val="Title"/>
    <w:basedOn w:val="Standard"/>
    <w:next w:val="Podnadpis"/>
    <w:uiPriority w:val="10"/>
    <w:qFormat/>
    <w:pPr>
      <w:jc w:val="center"/>
    </w:pPr>
    <w:rPr>
      <w:b/>
      <w:bCs/>
      <w:sz w:val="40"/>
    </w:rPr>
  </w:style>
  <w:style w:type="paragraph" w:styleId="Podnadpis">
    <w:name w:val="Subtitle"/>
    <w:basedOn w:val="Nadpis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qFormat/>
    <w:pPr>
      <w:ind w:left="360"/>
    </w:pPr>
  </w:style>
  <w:style w:type="paragraph" w:styleId="Zkladntextodsazen2">
    <w:name w:val="Body Text Indent 2"/>
    <w:basedOn w:val="Standard"/>
    <w:qFormat/>
    <w:pPr>
      <w:tabs>
        <w:tab w:val="left" w:pos="720"/>
      </w:tabs>
      <w:ind w:left="360" w:hanging="360"/>
    </w:pPr>
  </w:style>
  <w:style w:type="paragraph" w:styleId="Zkladntextodsazen3">
    <w:name w:val="Body Text Indent 3"/>
    <w:basedOn w:val="Standard"/>
    <w:qFormat/>
    <w:pPr>
      <w:tabs>
        <w:tab w:val="left" w:pos="720"/>
      </w:tabs>
      <w:ind w:left="360" w:hanging="360"/>
      <w:jc w:val="both"/>
    </w:pPr>
  </w:style>
  <w:style w:type="paragraph" w:customStyle="1" w:styleId="Texttabulky">
    <w:name w:val="Text tabulky"/>
    <w:basedOn w:val="Standard"/>
    <w:qFormat/>
    <w:pPr>
      <w:keepLines/>
    </w:pPr>
    <w:rPr>
      <w:rFonts w:ascii="Georgia" w:hAnsi="Georgia"/>
      <w:sz w:val="20"/>
      <w:szCs w:val="20"/>
    </w:rPr>
  </w:style>
  <w:style w:type="paragraph" w:customStyle="1" w:styleId="Nadpis2vploze">
    <w:name w:val="Nadpis 2 v příloze"/>
    <w:basedOn w:val="Nadpis2"/>
    <w:next w:val="Standard"/>
    <w:qFormat/>
    <w:pPr>
      <w:spacing w:before="120" w:after="120"/>
      <w:ind w:left="1701"/>
      <w:jc w:val="left"/>
      <w:outlineLvl w:val="9"/>
    </w:pPr>
    <w:rPr>
      <w:rFonts w:ascii="Arial Black" w:hAnsi="Arial Black"/>
      <w:b w:val="0"/>
      <w:bCs w:val="0"/>
      <w:sz w:val="20"/>
      <w:szCs w:val="20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FrameContents">
    <w:name w:val="Frame Contents"/>
    <w:basedOn w:val="Textbody"/>
    <w:qFormat/>
  </w:style>
  <w:style w:type="paragraph" w:customStyle="1" w:styleId="Vodorovnra">
    <w:name w:val="Vodorovná čára"/>
    <w:basedOn w:val="Normln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Prosttext1">
    <w:name w:val="Prostý text1"/>
    <w:basedOn w:val="Standard"/>
    <w:qFormat/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Standard"/>
    <w:qFormat/>
    <w:pPr>
      <w:jc w:val="both"/>
    </w:pPr>
    <w:rPr>
      <w:sz w:val="22"/>
    </w:rPr>
  </w:style>
  <w:style w:type="paragraph" w:styleId="Textbubliny">
    <w:name w:val="Balloon Text"/>
    <w:basedOn w:val="Normln"/>
    <w:qFormat/>
    <w:rPr>
      <w:rFonts w:ascii="Tahoma" w:hAnsi="Tahoma" w:cs="Mangal"/>
      <w:sz w:val="16"/>
      <w:szCs w:val="14"/>
    </w:rPr>
  </w:style>
  <w:style w:type="paragraph" w:styleId="Normlnweb">
    <w:name w:val="Normal (Web)"/>
    <w:basedOn w:val="Normln"/>
    <w:qFormat/>
    <w:pPr>
      <w:suppressAutoHyphens w:val="0"/>
      <w:spacing w:before="100" w:after="100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Cisodst1">
    <w:name w:val="Cisodst 1"/>
    <w:basedOn w:val="Normln"/>
    <w:qFormat/>
    <w:pPr>
      <w:keepLines/>
      <w:tabs>
        <w:tab w:val="left" w:pos="360"/>
      </w:tabs>
      <w:spacing w:after="60"/>
      <w:jc w:val="both"/>
      <w:textAlignment w:val="auto"/>
    </w:pPr>
    <w:rPr>
      <w:rFonts w:ascii="Arial" w:eastAsia="Times New Roman" w:hAnsi="Arial" w:cs="Arial"/>
      <w:kern w:val="0"/>
      <w:sz w:val="18"/>
      <w:szCs w:val="18"/>
      <w:lang w:eastAsia="ar-SA" w:bidi="ar-SA"/>
    </w:rPr>
  </w:style>
  <w:style w:type="paragraph" w:customStyle="1" w:styleId="Prosttext2">
    <w:name w:val="Prostý text2"/>
    <w:basedOn w:val="Normln"/>
    <w:qFormat/>
    <w:rPr>
      <w:rFonts w:ascii="Courier New" w:hAnsi="Courier New" w:cs="Courier New"/>
      <w:sz w:val="20"/>
      <w:szCs w:val="20"/>
    </w:rPr>
  </w:style>
  <w:style w:type="paragraph" w:styleId="Revize">
    <w:name w:val="Revision"/>
    <w:qFormat/>
    <w:pPr>
      <w:suppressAutoHyphens w:val="0"/>
    </w:pPr>
    <w:rPr>
      <w:rFonts w:cs="Mangal"/>
      <w:szCs w:val="21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rFonts w:cs="Mangal"/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is-brno.cz" TargetMode="External"/><Relationship Id="rId2" Type="http://schemas.openxmlformats.org/officeDocument/2006/relationships/hyperlink" Target="mailto:info@tis-brno.cz" TargetMode="External"/><Relationship Id="rId1" Type="http://schemas.openxmlformats.org/officeDocument/2006/relationships/hyperlink" Target="mailto:info@tis-brno.cz" TargetMode="External"/><Relationship Id="rId4" Type="http://schemas.openxmlformats.org/officeDocument/2006/relationships/hyperlink" Target="http://www.tis-brno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42DCE-2CEF-4A12-9BFD-7A4CADA2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DPO</cp:lastModifiedBy>
  <cp:revision>2</cp:revision>
  <cp:lastPrinted>2025-01-23T14:00:00Z</cp:lastPrinted>
  <dcterms:created xsi:type="dcterms:W3CDTF">2025-01-23T14:01:00Z</dcterms:created>
  <dcterms:modified xsi:type="dcterms:W3CDTF">2025-01-23T14:01:00Z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