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383867">
        <w:t>479</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383867">
        <w:rPr>
          <w:b/>
          <w:sz w:val="24"/>
        </w:rPr>
        <w:t>Top-Bio, s.r.o.</w:t>
      </w:r>
    </w:p>
    <w:p w:rsidR="00402AFA" w:rsidRDefault="00402AFA" w:rsidP="00410070">
      <w:pPr>
        <w:tabs>
          <w:tab w:val="left" w:pos="1985"/>
        </w:tabs>
        <w:spacing w:line="230" w:lineRule="exact"/>
        <w:rPr>
          <w:b/>
          <w:bCs/>
          <w:sz w:val="24"/>
        </w:rPr>
      </w:pPr>
      <w:r>
        <w:rPr>
          <w:sz w:val="24"/>
        </w:rPr>
        <w:t>se sídlem:</w:t>
      </w:r>
      <w:r>
        <w:rPr>
          <w:b/>
          <w:bCs/>
          <w:sz w:val="24"/>
        </w:rPr>
        <w:tab/>
      </w:r>
      <w:r w:rsidR="00383867">
        <w:rPr>
          <w:b/>
          <w:bCs/>
          <w:sz w:val="24"/>
        </w:rPr>
        <w:t xml:space="preserve">Průmyslová 596, </w:t>
      </w:r>
      <w:proofErr w:type="gramStart"/>
      <w:r w:rsidR="00383867">
        <w:rPr>
          <w:b/>
          <w:bCs/>
          <w:sz w:val="24"/>
        </w:rPr>
        <w:t>252 50  Vestec</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383867">
        <w:rPr>
          <w:sz w:val="24"/>
        </w:rPr>
        <w:t>645 78 895</w:t>
      </w:r>
    </w:p>
    <w:p w:rsidR="00402AFA" w:rsidRPr="001124B3" w:rsidRDefault="003D0091" w:rsidP="001124B3">
      <w:pPr>
        <w:pStyle w:val="Nadpis4"/>
        <w:rPr>
          <w:bCs/>
        </w:rPr>
      </w:pPr>
      <w:r>
        <w:t>DIČ:</w:t>
      </w:r>
      <w:r w:rsidR="00402AFA">
        <w:rPr>
          <w:b/>
          <w:bCs/>
        </w:rPr>
        <w:tab/>
      </w:r>
      <w:r w:rsidR="001124B3">
        <w:rPr>
          <w:bCs/>
        </w:rPr>
        <w:t xml:space="preserve">                     </w:t>
      </w:r>
      <w:r w:rsidR="00383867">
        <w:rPr>
          <w:bCs/>
        </w:rPr>
        <w:t>CZ 645 78 895</w:t>
      </w:r>
    </w:p>
    <w:p w:rsidR="00402AFA" w:rsidRDefault="00402AFA">
      <w:pPr>
        <w:tabs>
          <w:tab w:val="left" w:pos="1985"/>
        </w:tabs>
        <w:spacing w:line="230" w:lineRule="exact"/>
        <w:jc w:val="both"/>
        <w:rPr>
          <w:sz w:val="24"/>
        </w:rPr>
      </w:pPr>
      <w:r>
        <w:rPr>
          <w:sz w:val="24"/>
        </w:rPr>
        <w:t>zápis v</w:t>
      </w:r>
      <w:r w:rsidR="00707F50">
        <w:rPr>
          <w:sz w:val="24"/>
        </w:rPr>
        <w:t> </w:t>
      </w:r>
      <w:r w:rsidR="00383867">
        <w:rPr>
          <w:sz w:val="24"/>
        </w:rPr>
        <w:t>OR:</w:t>
      </w:r>
      <w:r w:rsidR="00383867">
        <w:rPr>
          <w:sz w:val="24"/>
        </w:rPr>
        <w:tab/>
      </w:r>
      <w:proofErr w:type="spellStart"/>
      <w:r w:rsidR="00383867">
        <w:rPr>
          <w:sz w:val="24"/>
        </w:rPr>
        <w:t>Mě</w:t>
      </w:r>
      <w:r>
        <w:rPr>
          <w:sz w:val="24"/>
        </w:rPr>
        <w:t>S</w:t>
      </w:r>
      <w:proofErr w:type="spellEnd"/>
      <w:r>
        <w:rPr>
          <w:sz w:val="24"/>
        </w:rPr>
        <w:t xml:space="preserve"> v</w:t>
      </w:r>
      <w:r w:rsidR="00707F50">
        <w:rPr>
          <w:sz w:val="24"/>
        </w:rPr>
        <w:t> </w:t>
      </w:r>
      <w:r w:rsidR="00383867">
        <w:rPr>
          <w:sz w:val="24"/>
        </w:rPr>
        <w:t>Praze</w:t>
      </w:r>
      <w:r w:rsidR="00410070">
        <w:rPr>
          <w:sz w:val="24"/>
        </w:rPr>
        <w:t>,</w:t>
      </w:r>
      <w:r>
        <w:rPr>
          <w:sz w:val="24"/>
        </w:rPr>
        <w:t xml:space="preserve"> oddíl</w:t>
      </w:r>
      <w:r w:rsidR="00383867">
        <w:rPr>
          <w:sz w:val="24"/>
        </w:rPr>
        <w:t xml:space="preserve"> C</w:t>
      </w:r>
      <w:r>
        <w:rPr>
          <w:sz w:val="24"/>
        </w:rPr>
        <w:t>,</w:t>
      </w:r>
      <w:r w:rsidR="00D74815">
        <w:rPr>
          <w:sz w:val="24"/>
        </w:rPr>
        <w:t xml:space="preserve"> </w:t>
      </w:r>
      <w:r>
        <w:rPr>
          <w:sz w:val="24"/>
        </w:rPr>
        <w:t xml:space="preserve">vložka </w:t>
      </w:r>
      <w:r w:rsidR="00383867">
        <w:rPr>
          <w:sz w:val="24"/>
        </w:rPr>
        <w:t>40609</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383867">
        <w:rPr>
          <w:b/>
          <w:sz w:val="24"/>
        </w:rPr>
        <w:t xml:space="preserve">Markem </w:t>
      </w:r>
      <w:proofErr w:type="spellStart"/>
      <w:r w:rsidR="00383867">
        <w:rPr>
          <w:b/>
          <w:sz w:val="24"/>
        </w:rPr>
        <w:t>Dráberem</w:t>
      </w:r>
      <w:proofErr w:type="spellEnd"/>
      <w:r w:rsidR="00B96AC7" w:rsidRPr="00B96AC7">
        <w:rPr>
          <w:b/>
          <w:sz w:val="24"/>
        </w:rPr>
        <w:t>, MBA</w:t>
      </w:r>
      <w:r w:rsidR="00410070" w:rsidRPr="00B96AC7">
        <w:rPr>
          <w:b/>
          <w:sz w:val="24"/>
        </w:rPr>
        <w:t xml:space="preserve">    </w:t>
      </w:r>
      <w:r w:rsidRPr="00B96AC7">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383867">
        <w:rPr>
          <w:sz w:val="24"/>
        </w:rPr>
        <w:t>jednatelem</w:t>
      </w:r>
      <w:proofErr w:type="gramEnd"/>
      <w:r w:rsidR="00383867">
        <w:rPr>
          <w:sz w:val="24"/>
        </w:rPr>
        <w:t xml:space="preserve"> a ředitelem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383867">
        <w:rPr>
          <w:b/>
          <w:sz w:val="24"/>
        </w:rPr>
        <w:t>479</w:t>
      </w:r>
      <w:r w:rsidRPr="00410070">
        <w:rPr>
          <w:b/>
          <w:sz w:val="24"/>
        </w:rPr>
        <w:t xml:space="preserve"> „</w:t>
      </w:r>
      <w:r w:rsidR="00383867">
        <w:rPr>
          <w:b/>
          <w:sz w:val="24"/>
        </w:rPr>
        <w:t>Zjednodušená metoda kvantifikace exprese specifických genů</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Další účastník projektu (1)</w:t>
      </w:r>
    </w:p>
    <w:p w:rsidR="00383867" w:rsidRPr="00992FBC" w:rsidRDefault="00383867">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383867">
        <w:rPr>
          <w:b/>
          <w:bCs/>
        </w:rPr>
        <w:t xml:space="preserve">Institut klinické </w:t>
      </w:r>
      <w:r w:rsidR="00244957">
        <w:rPr>
          <w:b/>
          <w:bCs/>
        </w:rPr>
        <w:t xml:space="preserve">a </w:t>
      </w:r>
      <w:bookmarkStart w:id="0" w:name="_GoBack"/>
      <w:bookmarkEnd w:id="0"/>
      <w:r w:rsidR="00383867">
        <w:rPr>
          <w:b/>
          <w:bCs/>
        </w:rPr>
        <w:t>experimentální medicíny</w:t>
      </w:r>
    </w:p>
    <w:p w:rsidR="00402AFA" w:rsidRPr="00992FBC" w:rsidRDefault="00402AFA" w:rsidP="00410070">
      <w:pPr>
        <w:pStyle w:val="Zkladntext"/>
        <w:tabs>
          <w:tab w:val="left" w:pos="1843"/>
        </w:tabs>
        <w:ind w:right="-227"/>
        <w:jc w:val="left"/>
      </w:pPr>
      <w:r w:rsidRPr="00992FBC">
        <w:t>Sídlo:</w:t>
      </w:r>
      <w:r w:rsidRPr="00992FBC">
        <w:rPr>
          <w:b/>
          <w:bCs/>
        </w:rPr>
        <w:tab/>
      </w:r>
      <w:r w:rsidR="00383867">
        <w:rPr>
          <w:b/>
          <w:bCs/>
        </w:rPr>
        <w:t xml:space="preserve">Vídeňská 1958/9, </w:t>
      </w:r>
      <w:proofErr w:type="gramStart"/>
      <w:r w:rsidR="00383867">
        <w:rPr>
          <w:b/>
          <w:bCs/>
        </w:rPr>
        <w:t>140 21  Praha</w:t>
      </w:r>
      <w:proofErr w:type="gramEnd"/>
      <w:r w:rsidR="00383867">
        <w:rPr>
          <w:b/>
          <w:bCs/>
        </w:rPr>
        <w:t xml:space="preserve"> 4</w:t>
      </w:r>
    </w:p>
    <w:p w:rsidR="00402AFA" w:rsidRDefault="00402AFA" w:rsidP="00410070">
      <w:pPr>
        <w:pStyle w:val="Zkladntext"/>
        <w:tabs>
          <w:tab w:val="left" w:pos="1843"/>
        </w:tabs>
        <w:ind w:right="-227"/>
        <w:jc w:val="left"/>
        <w:rPr>
          <w:b/>
          <w:bCs/>
        </w:rPr>
      </w:pPr>
      <w:r w:rsidRPr="00992FBC">
        <w:t>Identifikační číslo:</w:t>
      </w:r>
      <w:r w:rsidRPr="00992FBC">
        <w:rPr>
          <w:b/>
          <w:bCs/>
        </w:rPr>
        <w:tab/>
      </w:r>
      <w:r w:rsidR="00383867">
        <w:rPr>
          <w:b/>
          <w:bCs/>
        </w:rPr>
        <w:t>000 23 001</w:t>
      </w:r>
    </w:p>
    <w:p w:rsidR="00383867" w:rsidRPr="00992FBC" w:rsidRDefault="00383867" w:rsidP="00410070">
      <w:pPr>
        <w:pStyle w:val="Zkladntext"/>
        <w:tabs>
          <w:tab w:val="left" w:pos="1843"/>
        </w:tabs>
        <w:ind w:right="-227"/>
        <w:jc w:val="left"/>
        <w:rPr>
          <w:b/>
          <w:bCs/>
        </w:rPr>
      </w:pPr>
    </w:p>
    <w:p w:rsidR="00402AFA" w:rsidRPr="00992FBC" w:rsidRDefault="00402AFA">
      <w:pPr>
        <w:pStyle w:val="Zkladntext"/>
        <w:tabs>
          <w:tab w:val="left" w:pos="1843"/>
        </w:tabs>
        <w:ind w:right="-227"/>
        <w:rPr>
          <w:b/>
          <w:bCs/>
          <w:color w:val="FFC000"/>
        </w:rPr>
      </w:pPr>
    </w:p>
    <w:p w:rsidR="00992FBC" w:rsidRDefault="00992FBC" w:rsidP="00992FBC">
      <w:pPr>
        <w:pStyle w:val="Zkladntext"/>
        <w:tabs>
          <w:tab w:val="left" w:pos="3969"/>
        </w:tabs>
        <w:ind w:right="-227"/>
        <w:jc w:val="center"/>
      </w:pPr>
      <w:r w:rsidRPr="00992FBC">
        <w:t>Další účastník projektu (</w:t>
      </w:r>
      <w:r w:rsidR="005412BD">
        <w:t>2</w:t>
      </w:r>
      <w:r w:rsidRPr="00992FBC">
        <w:t>)</w:t>
      </w:r>
    </w:p>
    <w:p w:rsidR="00383867" w:rsidRPr="00992FBC" w:rsidRDefault="00383867" w:rsidP="00992FBC">
      <w:pPr>
        <w:pStyle w:val="Zkladntext"/>
        <w:tabs>
          <w:tab w:val="left" w:pos="3969"/>
        </w:tabs>
        <w:ind w:right="-227"/>
        <w:jc w:val="center"/>
      </w:pPr>
    </w:p>
    <w:p w:rsidR="00992FBC" w:rsidRPr="00992FBC" w:rsidRDefault="00992FBC" w:rsidP="00410070">
      <w:pPr>
        <w:pStyle w:val="Zkladntext"/>
        <w:tabs>
          <w:tab w:val="left" w:pos="1843"/>
        </w:tabs>
        <w:ind w:right="-227"/>
        <w:jc w:val="left"/>
        <w:rPr>
          <w:b/>
          <w:bCs/>
        </w:rPr>
      </w:pPr>
      <w:r w:rsidRPr="00992FBC">
        <w:t>Obchodní jméno:</w:t>
      </w:r>
      <w:r w:rsidRPr="00992FBC">
        <w:rPr>
          <w:b/>
          <w:bCs/>
        </w:rPr>
        <w:tab/>
      </w:r>
      <w:r w:rsidR="00383867">
        <w:rPr>
          <w:b/>
          <w:bCs/>
        </w:rPr>
        <w:t xml:space="preserve">Ústav molekulární genetiky AV ČR, </w:t>
      </w:r>
      <w:proofErr w:type="spellStart"/>
      <w:proofErr w:type="gramStart"/>
      <w:r w:rsidR="00383867">
        <w:rPr>
          <w:b/>
          <w:bCs/>
        </w:rPr>
        <w:t>v.v.</w:t>
      </w:r>
      <w:proofErr w:type="gramEnd"/>
      <w:r w:rsidR="00383867">
        <w:rPr>
          <w:b/>
          <w:bCs/>
        </w:rPr>
        <w:t>i</w:t>
      </w:r>
      <w:proofErr w:type="spellEnd"/>
      <w:r w:rsidR="00383867">
        <w:rPr>
          <w:b/>
          <w:bCs/>
        </w:rPr>
        <w:t>.</w:t>
      </w:r>
    </w:p>
    <w:p w:rsidR="00992FBC" w:rsidRPr="00992FBC" w:rsidRDefault="00992FBC" w:rsidP="00410070">
      <w:pPr>
        <w:pStyle w:val="Zkladntext"/>
        <w:tabs>
          <w:tab w:val="left" w:pos="1843"/>
        </w:tabs>
        <w:ind w:right="-227"/>
        <w:jc w:val="left"/>
      </w:pPr>
      <w:r w:rsidRPr="00992FBC">
        <w:t>Sídlo:</w:t>
      </w:r>
      <w:r w:rsidRPr="00992FBC">
        <w:rPr>
          <w:b/>
          <w:bCs/>
        </w:rPr>
        <w:tab/>
      </w:r>
      <w:r w:rsidR="00383867">
        <w:rPr>
          <w:b/>
          <w:bCs/>
        </w:rPr>
        <w:t xml:space="preserve">Vídeňská 1083, </w:t>
      </w:r>
      <w:proofErr w:type="gramStart"/>
      <w:r w:rsidR="00383867">
        <w:rPr>
          <w:b/>
          <w:bCs/>
        </w:rPr>
        <w:t>142 20  Praha</w:t>
      </w:r>
      <w:proofErr w:type="gramEnd"/>
      <w:r w:rsidR="00383867">
        <w:rPr>
          <w:b/>
          <w:bCs/>
        </w:rPr>
        <w:t xml:space="preserve"> 4</w:t>
      </w:r>
    </w:p>
    <w:p w:rsidR="00992FBC" w:rsidRDefault="00992FBC" w:rsidP="00410070">
      <w:pPr>
        <w:pStyle w:val="Zkladntext"/>
        <w:tabs>
          <w:tab w:val="left" w:pos="1843"/>
        </w:tabs>
        <w:ind w:right="-227"/>
        <w:jc w:val="left"/>
        <w:rPr>
          <w:b/>
          <w:bCs/>
        </w:rPr>
      </w:pPr>
      <w:r w:rsidRPr="00992FBC">
        <w:t>Identifikační číslo:</w:t>
      </w:r>
      <w:r w:rsidRPr="00992FBC">
        <w:rPr>
          <w:b/>
          <w:bCs/>
        </w:rPr>
        <w:tab/>
      </w:r>
      <w:r w:rsidR="00383867">
        <w:rPr>
          <w:b/>
          <w:bCs/>
        </w:rPr>
        <w:t>683 78 050</w:t>
      </w:r>
    </w:p>
    <w:p w:rsidR="005412BD" w:rsidRDefault="005412BD" w:rsidP="00992FBC">
      <w:pPr>
        <w:pStyle w:val="Zkladntext"/>
        <w:tabs>
          <w:tab w:val="left" w:pos="1843"/>
        </w:tabs>
        <w:ind w:right="-227"/>
        <w:rPr>
          <w:b/>
          <w:bCs/>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383867">
        <w:rPr>
          <w:b/>
          <w:sz w:val="24"/>
        </w:rPr>
        <w:t>11/2017 – 10/2020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B37E1"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383867" w:rsidRPr="00383867">
        <w:rPr>
          <w:b/>
          <w:bCs/>
        </w:rPr>
        <w:t>2498398309/0800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383867">
        <w:t>Česká spořitelna, a.s.</w:t>
      </w:r>
    </w:p>
    <w:p w:rsidR="003D775D" w:rsidRDefault="003D775D" w:rsidP="00410070">
      <w:pPr>
        <w:pStyle w:val="Zkladntext"/>
        <w:tabs>
          <w:tab w:val="left" w:pos="5387"/>
        </w:tabs>
        <w:jc w:val="left"/>
      </w:pPr>
      <w:r>
        <w:tab/>
      </w:r>
      <w:r w:rsidR="00410070">
        <w:t xml:space="preserve">             </w:t>
      </w:r>
      <w:r w:rsidR="00383867">
        <w:t>Sofijské nám. 3404, Praha 4</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Default="00410070" w:rsidP="00266A7F">
      <w:pPr>
        <w:pStyle w:val="Zkladntext"/>
        <w:widowControl/>
        <w:rPr>
          <w:b/>
          <w:color w:val="FF0000"/>
        </w:rPr>
      </w:pPr>
    </w:p>
    <w:p w:rsidR="00383867" w:rsidRDefault="00383867" w:rsidP="00266A7F">
      <w:pPr>
        <w:pStyle w:val="Zkladntext"/>
        <w:widowControl/>
        <w:rPr>
          <w:b/>
          <w:color w:val="FF0000"/>
        </w:rPr>
      </w:pPr>
    </w:p>
    <w:p w:rsidR="00383867" w:rsidRPr="00B07CEF" w:rsidRDefault="00383867"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383867" w:rsidP="00410070">
      <w:pPr>
        <w:tabs>
          <w:tab w:val="left" w:pos="5812"/>
        </w:tabs>
        <w:rPr>
          <w:b/>
          <w:bCs/>
          <w:iCs/>
          <w:sz w:val="18"/>
          <w:szCs w:val="18"/>
        </w:rPr>
      </w:pPr>
      <w:r>
        <w:rPr>
          <w:b/>
          <w:bCs/>
          <w:iCs/>
          <w:sz w:val="18"/>
          <w:szCs w:val="18"/>
        </w:rPr>
        <w:t xml:space="preserve">                                                                                                                                                             Top-Bio, s.r.o.</w:t>
      </w:r>
      <w:r w:rsidR="00410070">
        <w:rPr>
          <w:b/>
          <w:bCs/>
          <w:iCs/>
          <w:sz w:val="18"/>
          <w:szCs w:val="18"/>
        </w:rPr>
        <w:t xml:space="preserve">                                                                                                                                          </w:t>
      </w:r>
    </w:p>
    <w:p w:rsidR="00012F66" w:rsidRPr="00410070" w:rsidRDefault="00383867"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Průmyslová 596, </w:t>
      </w:r>
      <w:proofErr w:type="gramStart"/>
      <w:r>
        <w:rPr>
          <w:b/>
          <w:bCs/>
          <w:iCs/>
          <w:sz w:val="18"/>
          <w:szCs w:val="18"/>
        </w:rPr>
        <w:t>252 50  Vestec</w:t>
      </w:r>
      <w:proofErr w:type="gramEnd"/>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383867" w:rsidRDefault="00383867">
      <w:pPr>
        <w:jc w:val="both"/>
        <w:rPr>
          <w:bCs/>
          <w:sz w:val="24"/>
        </w:rPr>
      </w:pPr>
    </w:p>
    <w:p w:rsidR="00383867" w:rsidRDefault="00383867">
      <w:pPr>
        <w:jc w:val="both"/>
        <w:rPr>
          <w:bCs/>
          <w:sz w:val="24"/>
        </w:rPr>
      </w:pPr>
    </w:p>
    <w:p w:rsidR="00383867" w:rsidRDefault="00383867">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383867">
        <w:rPr>
          <w:b/>
          <w:bCs/>
          <w:sz w:val="24"/>
        </w:rPr>
        <w:t xml:space="preserve">            Marek </w:t>
      </w:r>
      <w:proofErr w:type="spellStart"/>
      <w:r w:rsidR="00383867">
        <w:rPr>
          <w:b/>
          <w:bCs/>
          <w:sz w:val="24"/>
        </w:rPr>
        <w:t>Dráber</w:t>
      </w:r>
      <w:proofErr w:type="spellEnd"/>
      <w:r w:rsidR="00383867">
        <w:rPr>
          <w:b/>
          <w:bCs/>
          <w:sz w:val="24"/>
        </w:rPr>
        <w:t>, MBA</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383867">
        <w:rPr>
          <w:bCs/>
        </w:rPr>
        <w:t xml:space="preserve">        jednatel a ředitel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244957">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383867">
      <w:rPr>
        <w:sz w:val="16"/>
        <w:szCs w:val="16"/>
      </w:rPr>
      <w:t>479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4957"/>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3867"/>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96AC7"/>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A87C3-4063-4D8F-8ED3-C0EDCB9A7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6EDF62B9.dotm</Template>
  <TotalTime>39</TotalTime>
  <Pages>11</Pages>
  <Words>4821</Words>
  <Characters>29272</Characters>
  <Application>Microsoft Office Word</Application>
  <DocSecurity>0</DocSecurity>
  <Lines>243</Lines>
  <Paragraphs>68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2017-06-27T12:53:00Z</cp:lastPrinted>
  <dcterms:created xsi:type="dcterms:W3CDTF">2017-06-07T08:15:00Z</dcterms:created>
  <dcterms:modified xsi:type="dcterms:W3CDTF">2017-06-27T12:53:00Z</dcterms:modified>
</cp:coreProperties>
</file>