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Svitávka - kácení nebezpečných stromů v k. ú. Kunratice u Cvikova</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Svitávka - kácení nebezpečných stromů v k. ú. Kunratice u Cvikova</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Stromy, s.r.o., IČO: 27268748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180" w:line="240" w:lineRule="auto"/>
        <w:ind w:left="0" w:right="0" w:firstLine="0"/>
        <w:jc w:val="both"/>
      </w:pPr>
      <w:r>
        <w:rPr>
          <w:color w:val="000000"/>
          <w:spacing w:val="0"/>
          <w:w w:val="100"/>
          <w:position w:val="0"/>
          <w:shd w:val="clear" w:color="auto" w:fill="auto"/>
          <w:lang w:val="cs-CZ" w:eastAsia="cs-CZ" w:bidi="cs-CZ"/>
        </w:rPr>
        <w:t>Datum:…………….</w:t>
      </w:r>
    </w:p>
    <w:tbl>
      <w:tblPr>
        <w:tblOverlap w:val="never"/>
        <w:jc w:val="left"/>
        <w:tblLayout w:type="fixed"/>
      </w:tblPr>
      <w:tblGrid>
        <w:gridCol w:w="1080"/>
        <w:gridCol w:w="2861"/>
      </w:tblGrid>
      <w:tr>
        <w:trPr>
          <w:trHeight w:val="6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3"/>
              <w:keepNext w:val="0"/>
              <w:keepLines w:val="0"/>
              <w:widowControl w:val="0"/>
              <w:shd w:val="clear" w:color="auto" w:fill="auto"/>
              <w:tabs>
                <w:tab w:leader="dot" w:pos="281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w:t>
            </w:r>
          </w:p>
        </w:tc>
      </w:tr>
    </w:tbl>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