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3"/>
        <w:rPr>
          <w:rFonts w:ascii="Times New Roman"/>
          <w:sz w:val="16"/>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7241400022</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7"/>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pPr>
    </w:p>
    <w:p>
      <w:pPr>
        <w:pStyle w:val="Heading2"/>
        <w:spacing w:before="1"/>
        <w:ind w:left="102"/>
        <w:jc w:val="left"/>
      </w:pPr>
      <w:r>
        <w:rPr/>
        <w:t>obec</w:t>
      </w:r>
      <w:r>
        <w:rPr>
          <w:spacing w:val="-4"/>
        </w:rPr>
        <w:t> </w:t>
      </w:r>
      <w:r>
        <w:rPr>
          <w:spacing w:val="-2"/>
        </w:rPr>
        <w:t>Ratíškovice</w:t>
      </w:r>
    </w:p>
    <w:p>
      <w:pPr>
        <w:pStyle w:val="BodyText"/>
        <w:tabs>
          <w:tab w:pos="2982" w:val="left" w:leader="none"/>
        </w:tabs>
        <w:ind w:left="102" w:right="1316"/>
      </w:pPr>
      <w:r>
        <w:rPr/>
        <w:t>kontaktní adresa:</w:t>
        <w:tab/>
        <w:t>Obecní</w:t>
      </w:r>
      <w:r>
        <w:rPr>
          <w:spacing w:val="-6"/>
        </w:rPr>
        <w:t> </w:t>
      </w:r>
      <w:r>
        <w:rPr/>
        <w:t>úřad</w:t>
      </w:r>
      <w:r>
        <w:rPr>
          <w:spacing w:val="-6"/>
        </w:rPr>
        <w:t> </w:t>
      </w:r>
      <w:r>
        <w:rPr/>
        <w:t>Ratíškovice,</w:t>
      </w:r>
      <w:r>
        <w:rPr>
          <w:spacing w:val="-5"/>
        </w:rPr>
        <w:t> </w:t>
      </w:r>
      <w:r>
        <w:rPr/>
        <w:t>U</w:t>
      </w:r>
      <w:r>
        <w:rPr>
          <w:spacing w:val="-4"/>
        </w:rPr>
        <w:t> </w:t>
      </w:r>
      <w:r>
        <w:rPr/>
        <w:t>Radnice</w:t>
      </w:r>
      <w:r>
        <w:rPr>
          <w:spacing w:val="-6"/>
        </w:rPr>
        <w:t> </w:t>
      </w:r>
      <w:r>
        <w:rPr/>
        <w:t>1300,</w:t>
      </w:r>
      <w:r>
        <w:rPr>
          <w:spacing w:val="-6"/>
        </w:rPr>
        <w:t> </w:t>
      </w:r>
      <w:r>
        <w:rPr/>
        <w:t>696</w:t>
      </w:r>
      <w:r>
        <w:rPr>
          <w:spacing w:val="-3"/>
        </w:rPr>
        <w:t> </w:t>
      </w:r>
      <w:r>
        <w:rPr/>
        <w:t>02</w:t>
      </w:r>
      <w:r>
        <w:rPr>
          <w:spacing w:val="-6"/>
        </w:rPr>
        <w:t> </w:t>
      </w:r>
      <w:r>
        <w:rPr/>
        <w:t>Ratíškovice </w:t>
      </w:r>
      <w:r>
        <w:rPr>
          <w:spacing w:val="-4"/>
        </w:rPr>
        <w:t>IČO:</w:t>
      </w:r>
      <w:r>
        <w:rPr/>
        <w:tab/>
      </w:r>
      <w:r>
        <w:rPr>
          <w:spacing w:val="-2"/>
        </w:rPr>
        <w:t>00285242</w:t>
      </w:r>
    </w:p>
    <w:p>
      <w:pPr>
        <w:pStyle w:val="BodyText"/>
        <w:tabs>
          <w:tab w:pos="2982" w:val="left" w:leader="none"/>
        </w:tabs>
        <w:spacing w:line="265" w:lineRule="exact" w:before="1"/>
        <w:ind w:left="102"/>
      </w:pPr>
      <w:r>
        <w:rPr>
          <w:spacing w:val="-2"/>
        </w:rPr>
        <w:t>zastoupená:</w:t>
      </w:r>
      <w:r>
        <w:rPr/>
        <w:tab/>
        <w:t>Ing.</w:t>
      </w:r>
      <w:r>
        <w:rPr>
          <w:spacing w:val="-3"/>
        </w:rPr>
        <w:t> </w:t>
      </w:r>
      <w:r>
        <w:rPr/>
        <w:t>Martinem</w:t>
      </w:r>
      <w:r>
        <w:rPr>
          <w:spacing w:val="-1"/>
        </w:rPr>
        <w:t> </w:t>
      </w:r>
      <w:r>
        <w:rPr/>
        <w:t>Š</w:t>
      </w:r>
      <w:r>
        <w:rPr>
          <w:spacing w:val="-1"/>
        </w:rPr>
        <w:t> </w:t>
      </w:r>
      <w:r>
        <w:rPr/>
        <w:t>u</w:t>
      </w:r>
      <w:r>
        <w:rPr>
          <w:spacing w:val="-3"/>
        </w:rPr>
        <w:t> </w:t>
      </w:r>
      <w:r>
        <w:rPr/>
        <w:t>p</w:t>
      </w:r>
      <w:r>
        <w:rPr>
          <w:spacing w:val="-2"/>
        </w:rPr>
        <w:t> </w:t>
      </w:r>
      <w:r>
        <w:rPr/>
        <w:t>á</w:t>
      </w:r>
      <w:r>
        <w:rPr>
          <w:spacing w:val="-3"/>
        </w:rPr>
        <w:t> </w:t>
      </w:r>
      <w:r>
        <w:rPr/>
        <w:t>l</w:t>
      </w:r>
      <w:r>
        <w:rPr>
          <w:spacing w:val="-3"/>
        </w:rPr>
        <w:t> </w:t>
      </w:r>
      <w:r>
        <w:rPr/>
        <w:t>k</w:t>
      </w:r>
      <w:r>
        <w:rPr>
          <w:spacing w:val="-3"/>
        </w:rPr>
        <w:t> </w:t>
      </w:r>
      <w:r>
        <w:rPr/>
        <w:t>e</w:t>
      </w:r>
      <w:r>
        <w:rPr>
          <w:spacing w:val="-1"/>
        </w:rPr>
        <w:t> </w:t>
      </w:r>
      <w:r>
        <w:rPr/>
        <w:t>m,</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30228671/0710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59"/>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7241400022 o poskytnutí finančních prostředků ze Státního fondu životního prostředí ČR ze dne 14.10.2024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 podpory potvrzuje, že se seznámil s Výzvou RES+ 4/2024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1560" w:bottom="960" w:left="1600" w:right="1020"/>
          <w:pgNumType w:start="1"/>
        </w:sectPr>
      </w:pPr>
    </w:p>
    <w:p>
      <w:pPr>
        <w:pStyle w:val="ListParagraph"/>
        <w:numPr>
          <w:ilvl w:val="0"/>
          <w:numId w:val="1"/>
        </w:numPr>
        <w:tabs>
          <w:tab w:pos="386" w:val="left" w:leader="none"/>
        </w:tabs>
        <w:spacing w:line="240" w:lineRule="auto" w:before="8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1059"/>
      </w:pPr>
      <w:r>
        <w:rPr/>
        <w:t>„FVE</w:t>
      </w:r>
      <w:r>
        <w:rPr>
          <w:spacing w:val="-8"/>
        </w:rPr>
        <w:t> </w:t>
      </w:r>
      <w:r>
        <w:rPr/>
        <w:t>Knihovna,</w:t>
      </w:r>
      <w:r>
        <w:rPr>
          <w:spacing w:val="-5"/>
        </w:rPr>
        <w:t> </w:t>
      </w:r>
      <w:r>
        <w:rPr/>
        <w:t>OÚ,</w:t>
      </w:r>
      <w:r>
        <w:rPr>
          <w:spacing w:val="-5"/>
        </w:rPr>
        <w:t> </w:t>
      </w:r>
      <w:r>
        <w:rPr/>
        <w:t>DPS,</w:t>
      </w:r>
      <w:r>
        <w:rPr>
          <w:spacing w:val="-4"/>
        </w:rPr>
        <w:t> </w:t>
      </w:r>
      <w:r>
        <w:rPr/>
        <w:t>Obec</w:t>
      </w:r>
      <w:r>
        <w:rPr>
          <w:spacing w:val="-6"/>
        </w:rPr>
        <w:t> </w:t>
      </w:r>
      <w:r>
        <w:rPr>
          <w:spacing w:val="-2"/>
        </w:rPr>
        <w:t>Ratíškovice“</w:t>
      </w:r>
    </w:p>
    <w:p>
      <w:pPr>
        <w:pStyle w:val="BodyText"/>
        <w:spacing w:before="121"/>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rPr>
          <w:sz w:val="29"/>
        </w:rPr>
      </w:pPr>
    </w:p>
    <w:p>
      <w:pPr>
        <w:pStyle w:val="ListParagraph"/>
        <w:numPr>
          <w:ilvl w:val="0"/>
          <w:numId w:val="1"/>
        </w:numPr>
        <w:tabs>
          <w:tab w:pos="386" w:val="left" w:leader="none"/>
        </w:tabs>
        <w:spacing w:line="240" w:lineRule="auto" w:before="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SA.111735 (článek 41).</w:t>
      </w:r>
    </w:p>
    <w:p>
      <w:pPr>
        <w:pStyle w:val="BodyText"/>
        <w:rPr>
          <w:sz w:val="26"/>
        </w:rPr>
      </w:pPr>
    </w:p>
    <w:p>
      <w:pPr>
        <w:pStyle w:val="Heading1"/>
        <w:spacing w:before="186"/>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968 657,00 Kč </w:t>
      </w:r>
      <w:r>
        <w:rPr>
          <w:sz w:val="20"/>
        </w:rPr>
        <w:t>(slovy: devět set šedesát osm tisíc šest set padesát sedm korun </w:t>
      </w:r>
      <w:r>
        <w:rPr>
          <w:spacing w:val="-2"/>
          <w:sz w:val="20"/>
        </w:rPr>
        <w:t>českých).</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Základ pro stanovení podpory odpovídá způsobilým výdajům stanoveným Fondem dle žádosti a jejích příloh a činí 5 914 453,38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1"/>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spacing w:before="1"/>
      </w:pPr>
    </w:p>
    <w:p>
      <w:pPr>
        <w:pStyle w:val="Heading1"/>
        <w:spacing w:line="265" w:lineRule="exact" w:before="1"/>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1560" w:bottom="960" w:left="1600" w:right="1020"/>
        </w:sectPr>
      </w:pPr>
    </w:p>
    <w:p>
      <w:pPr>
        <w:pStyle w:val="ListParagraph"/>
        <w:numPr>
          <w:ilvl w:val="0"/>
          <w:numId w:val="3"/>
        </w:numPr>
        <w:tabs>
          <w:tab w:pos="386" w:val="left" w:leader="none"/>
        </w:tabs>
        <w:spacing w:line="240" w:lineRule="auto" w:before="8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1"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BodyText"/>
        <w:spacing w:before="13"/>
        <w:rPr>
          <w:sz w:val="33"/>
        </w:rPr>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0" w:after="0"/>
        <w:ind w:left="742" w:right="111" w:hanging="358"/>
        <w:jc w:val="left"/>
        <w:rPr>
          <w:sz w:val="20"/>
        </w:rPr>
      </w:pPr>
      <w:r>
        <w:rPr>
          <w:sz w:val="20"/>
        </w:rPr>
        <w:t>splní účel akce „FVE Knihovna, OÚ,</w:t>
      </w:r>
      <w:r>
        <w:rPr>
          <w:spacing w:val="10"/>
          <w:sz w:val="20"/>
        </w:rPr>
        <w:t> </w:t>
      </w:r>
      <w:r>
        <w:rPr>
          <w:sz w:val="20"/>
        </w:rPr>
        <w:t>DPS, Obec Ratíškovice“ tím, že akce bude provedena v souladu</w:t>
      </w:r>
      <w:r>
        <w:rPr>
          <w:spacing w:val="40"/>
          <w:sz w:val="20"/>
        </w:rPr>
        <w:t> </w:t>
      </w:r>
      <w:r>
        <w:rPr>
          <w:sz w:val="20"/>
        </w:rPr>
        <w:t>s Výzvou, žádostí o podporu a jejími přílohami a touto Smlouvou,</w:t>
      </w:r>
    </w:p>
    <w:p>
      <w:pPr>
        <w:pStyle w:val="ListParagraph"/>
        <w:numPr>
          <w:ilvl w:val="1"/>
          <w:numId w:val="4"/>
        </w:numPr>
        <w:tabs>
          <w:tab w:pos="746" w:val="left" w:leader="none"/>
        </w:tabs>
        <w:spacing w:line="240" w:lineRule="auto" w:before="119" w:after="0"/>
        <w:ind w:left="745" w:right="118"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64,35 kWp a instalací akumulace o kapacitě 17,4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6"/>
          <w:sz w:val="20"/>
        </w:rPr>
        <w:t> </w:t>
      </w:r>
      <w:r>
        <w:rPr>
          <w:w w:val="95"/>
          <w:sz w:val="20"/>
        </w:rPr>
        <w:t>termínu</w:t>
      </w:r>
      <w:r>
        <w:rPr>
          <w:spacing w:val="9"/>
          <w:sz w:val="20"/>
        </w:rPr>
        <w:t> </w:t>
      </w:r>
      <w:r>
        <w:rPr>
          <w:w w:val="95"/>
          <w:sz w:val="20"/>
        </w:rPr>
        <w:t>pro</w:t>
      </w:r>
      <w:r>
        <w:rPr>
          <w:spacing w:val="7"/>
          <w:sz w:val="20"/>
        </w:rPr>
        <w:t> </w:t>
      </w:r>
      <w:r>
        <w:rPr>
          <w:w w:val="95"/>
          <w:sz w:val="20"/>
        </w:rPr>
        <w:t>závěrečné</w:t>
      </w:r>
      <w:r>
        <w:rPr>
          <w:spacing w:val="5"/>
          <w:sz w:val="20"/>
        </w:rPr>
        <w:t> </w:t>
      </w:r>
      <w:r>
        <w:rPr>
          <w:w w:val="95"/>
          <w:sz w:val="20"/>
        </w:rPr>
        <w:t>vyhodnocení</w:t>
      </w:r>
      <w:r>
        <w:rPr>
          <w:spacing w:val="9"/>
          <w:sz w:val="20"/>
        </w:rPr>
        <w:t> </w:t>
      </w:r>
      <w:r>
        <w:rPr>
          <w:w w:val="95"/>
          <w:sz w:val="20"/>
        </w:rPr>
        <w:t>akce</w:t>
      </w:r>
      <w:r>
        <w:rPr>
          <w:spacing w:val="8"/>
          <w:sz w:val="20"/>
        </w:rPr>
        <w:t> </w:t>
      </w:r>
      <w:r>
        <w:rPr>
          <w:w w:val="95"/>
          <w:sz w:val="20"/>
        </w:rPr>
        <w:t>(ZVA)</w:t>
      </w:r>
      <w:r>
        <w:rPr>
          <w:spacing w:val="5"/>
          <w:sz w:val="20"/>
        </w:rPr>
        <w:t> </w:t>
      </w:r>
      <w:r>
        <w:rPr>
          <w:w w:val="95"/>
          <w:sz w:val="20"/>
        </w:rPr>
        <w:t>podle</w:t>
      </w:r>
      <w:r>
        <w:rPr>
          <w:spacing w:val="8"/>
          <w:sz w:val="20"/>
        </w:rPr>
        <w:t> </w:t>
      </w:r>
      <w:r>
        <w:rPr>
          <w:w w:val="95"/>
          <w:sz w:val="20"/>
        </w:rPr>
        <w:t>písmene</w:t>
      </w:r>
      <w:r>
        <w:rPr>
          <w:spacing w:val="11"/>
          <w:sz w:val="20"/>
        </w:rPr>
        <w:t> </w:t>
      </w:r>
      <w:r>
        <w:rPr>
          <w:w w:val="95"/>
          <w:sz w:val="20"/>
        </w:rPr>
        <w:t>e)</w:t>
      </w:r>
      <w:r>
        <w:rPr>
          <w:spacing w:val="5"/>
          <w:sz w:val="20"/>
        </w:rPr>
        <w:t> </w:t>
      </w:r>
      <w:r>
        <w:rPr>
          <w:w w:val="95"/>
          <w:sz w:val="20"/>
        </w:rPr>
        <w:t>bude</w:t>
      </w:r>
      <w:r>
        <w:rPr>
          <w:spacing w:val="5"/>
          <w:sz w:val="20"/>
        </w:rPr>
        <w:t> </w:t>
      </w:r>
      <w:r>
        <w:rPr>
          <w:w w:val="95"/>
          <w:sz w:val="20"/>
        </w:rPr>
        <w:t>projekt</w:t>
      </w:r>
      <w:r>
        <w:rPr>
          <w:spacing w:val="5"/>
          <w:sz w:val="20"/>
        </w:rPr>
        <w:t> </w:t>
      </w:r>
      <w:r>
        <w:rPr>
          <w:w w:val="95"/>
          <w:sz w:val="20"/>
        </w:rPr>
        <w:t>plnit</w:t>
      </w:r>
      <w:r>
        <w:rPr>
          <w:spacing w:val="5"/>
          <w:sz w:val="20"/>
        </w:rPr>
        <w:t> </w:t>
      </w:r>
      <w:r>
        <w:rPr>
          <w:w w:val="95"/>
          <w:sz w:val="20"/>
        </w:rPr>
        <w:t>tyto</w:t>
      </w:r>
      <w:r>
        <w:rPr>
          <w:spacing w:val="9"/>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2" w:hRule="atLeast"/>
        </w:trPr>
        <w:tc>
          <w:tcPr>
            <w:tcW w:w="3951" w:type="dxa"/>
          </w:tcPr>
          <w:p>
            <w:pPr>
              <w:pStyle w:val="TableParagraph"/>
              <w:spacing w:line="266" w:lineRule="exact"/>
              <w:ind w:left="388"/>
              <w:rPr>
                <w:sz w:val="20"/>
              </w:rPr>
            </w:pPr>
            <w:r>
              <w:rPr>
                <w:sz w:val="20"/>
              </w:rPr>
              <w:t>Nová</w:t>
            </w:r>
            <w:r>
              <w:rPr>
                <w:spacing w:val="-14"/>
                <w:sz w:val="20"/>
              </w:rPr>
              <w:t> </w:t>
            </w:r>
            <w:r>
              <w:rPr>
                <w:sz w:val="20"/>
              </w:rPr>
              <w:t>využitelná</w:t>
            </w:r>
            <w:r>
              <w:rPr>
                <w:spacing w:val="-14"/>
                <w:sz w:val="20"/>
              </w:rPr>
              <w:t> </w:t>
            </w:r>
            <w:r>
              <w:rPr>
                <w:sz w:val="20"/>
              </w:rPr>
              <w:t>kapacita</w:t>
            </w:r>
            <w:r>
              <w:rPr>
                <w:spacing w:val="-14"/>
                <w:sz w:val="20"/>
              </w:rPr>
              <w:t> </w:t>
            </w:r>
            <w:r>
              <w:rPr>
                <w:sz w:val="20"/>
              </w:rPr>
              <w:t>akumulace elektrické energie z OZE</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17.40</w:t>
            </w:r>
          </w:p>
        </w:tc>
      </w:tr>
      <w:tr>
        <w:trPr>
          <w:trHeight w:val="505"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64.35</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58.76</w:t>
            </w:r>
          </w:p>
        </w:tc>
      </w:tr>
      <w:tr>
        <w:trPr>
          <w:trHeight w:val="532" w:hRule="atLeast"/>
        </w:trPr>
        <w:tc>
          <w:tcPr>
            <w:tcW w:w="3951" w:type="dxa"/>
          </w:tcPr>
          <w:p>
            <w:pPr>
              <w:pStyle w:val="TableParagraph"/>
              <w:spacing w:line="260" w:lineRule="atLeas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177.66</w:t>
            </w:r>
          </w:p>
        </w:tc>
      </w:tr>
      <w:tr>
        <w:trPr>
          <w:trHeight w:val="506" w:hRule="atLeast"/>
        </w:trPr>
        <w:tc>
          <w:tcPr>
            <w:tcW w:w="3951" w:type="dxa"/>
          </w:tcPr>
          <w:p>
            <w:pPr>
              <w:pStyle w:val="TableParagraph"/>
              <w:ind w:left="388"/>
              <w:rPr>
                <w:sz w:val="20"/>
              </w:rPr>
            </w:pPr>
            <w:r>
              <w:rPr>
                <w:sz w:val="20"/>
              </w:rPr>
              <w:t>Výroba</w:t>
            </w:r>
            <w:r>
              <w:rPr>
                <w:spacing w:val="-6"/>
                <w:sz w:val="20"/>
              </w:rPr>
              <w:t> </w:t>
            </w:r>
            <w:r>
              <w:rPr>
                <w:sz w:val="20"/>
              </w:rPr>
              <w:t>elektrické</w:t>
            </w:r>
            <w:r>
              <w:rPr>
                <w:spacing w:val="-6"/>
                <w:sz w:val="20"/>
              </w:rPr>
              <w:t> </w:t>
            </w:r>
            <w:r>
              <w:rPr>
                <w:sz w:val="20"/>
              </w:rPr>
              <w:t>energie</w:t>
            </w:r>
            <w:r>
              <w:rPr>
                <w:spacing w:val="-6"/>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68.33</w:t>
            </w:r>
          </w:p>
        </w:tc>
      </w:tr>
    </w:tbl>
    <w:p>
      <w:pPr>
        <w:spacing w:after="0"/>
        <w:rPr>
          <w:sz w:val="20"/>
        </w:rPr>
        <w:sectPr>
          <w:pgSz w:w="12240" w:h="15840"/>
          <w:pgMar w:header="708" w:footer="771" w:top="1560" w:bottom="960" w:left="1600" w:right="1020"/>
        </w:sectPr>
      </w:pPr>
    </w:p>
    <w:p>
      <w:pPr>
        <w:pStyle w:val="ListParagraph"/>
        <w:numPr>
          <w:ilvl w:val="1"/>
          <w:numId w:val="4"/>
        </w:numPr>
        <w:tabs>
          <w:tab w:pos="743" w:val="left" w:leader="none"/>
        </w:tabs>
        <w:spacing w:line="240" w:lineRule="auto" w:before="89"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e),</w:t>
      </w:r>
    </w:p>
    <w:p>
      <w:pPr>
        <w:pStyle w:val="ListParagraph"/>
        <w:numPr>
          <w:ilvl w:val="1"/>
          <w:numId w:val="4"/>
        </w:numPr>
        <w:tabs>
          <w:tab w:pos="743" w:val="left" w:leader="none"/>
        </w:tabs>
        <w:spacing w:line="240" w:lineRule="auto" w:before="121"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5</w:t>
      </w:r>
      <w:r>
        <w:rPr>
          <w:spacing w:val="-11"/>
          <w:sz w:val="20"/>
        </w:rPr>
        <w:t> </w:t>
      </w:r>
      <w:r>
        <w:rPr>
          <w:sz w:val="20"/>
        </w:rPr>
        <w:t>let</w:t>
      </w:r>
      <w:r>
        <w:rPr>
          <w:spacing w:val="-11"/>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3"/>
          <w:sz w:val="20"/>
        </w:rPr>
        <w:t> </w:t>
      </w:r>
      <w:r>
        <w:rPr>
          <w:sz w:val="20"/>
        </w:rPr>
        <w:t>Rozhodnutí. Za termín ukončení akce se považuje datum předložení podkladů pro ZVA,</w:t>
      </w:r>
    </w:p>
    <w:p>
      <w:pPr>
        <w:pStyle w:val="ListParagraph"/>
        <w:numPr>
          <w:ilvl w:val="1"/>
          <w:numId w:val="4"/>
        </w:numPr>
        <w:tabs>
          <w:tab w:pos="746" w:val="left" w:leader="none"/>
        </w:tabs>
        <w:spacing w:line="240" w:lineRule="auto" w:before="121" w:after="0"/>
        <w:ind w:left="745" w:right="0" w:hanging="361"/>
        <w:jc w:val="both"/>
        <w:rPr>
          <w:sz w:val="20"/>
        </w:rPr>
      </w:pPr>
      <w:r>
        <w:rPr>
          <w:sz w:val="20"/>
        </w:rPr>
        <w:t>závěrečnou</w:t>
      </w:r>
      <w:r>
        <w:rPr>
          <w:spacing w:val="-7"/>
          <w:sz w:val="20"/>
        </w:rPr>
        <w:t> </w:t>
      </w:r>
      <w:r>
        <w:rPr>
          <w:sz w:val="20"/>
        </w:rPr>
        <w:t>žádost</w:t>
      </w:r>
      <w:r>
        <w:rPr>
          <w:spacing w:val="-7"/>
          <w:sz w:val="20"/>
        </w:rPr>
        <w:t> </w:t>
      </w:r>
      <w:r>
        <w:rPr>
          <w:sz w:val="20"/>
        </w:rPr>
        <w:t>o</w:t>
      </w:r>
      <w:r>
        <w:rPr>
          <w:spacing w:val="-5"/>
          <w:sz w:val="20"/>
        </w:rPr>
        <w:t> </w:t>
      </w:r>
      <w:r>
        <w:rPr>
          <w:sz w:val="20"/>
        </w:rPr>
        <w:t>platbu</w:t>
      </w:r>
      <w:r>
        <w:rPr>
          <w:spacing w:val="-5"/>
          <w:sz w:val="20"/>
        </w:rPr>
        <w:t> </w:t>
      </w:r>
      <w:r>
        <w:rPr>
          <w:sz w:val="20"/>
        </w:rPr>
        <w:t>předloží</w:t>
      </w:r>
      <w:r>
        <w:rPr>
          <w:spacing w:val="-7"/>
          <w:sz w:val="20"/>
        </w:rPr>
        <w:t> </w:t>
      </w:r>
      <w:r>
        <w:rPr>
          <w:sz w:val="20"/>
        </w:rPr>
        <w:t>Fondu</w:t>
      </w:r>
      <w:r>
        <w:rPr>
          <w:spacing w:val="-7"/>
          <w:sz w:val="20"/>
        </w:rPr>
        <w:t> </w:t>
      </w:r>
      <w:r>
        <w:rPr>
          <w:sz w:val="20"/>
        </w:rPr>
        <w:t>nejpozději</w:t>
      </w:r>
      <w:r>
        <w:rPr>
          <w:spacing w:val="-4"/>
          <w:sz w:val="20"/>
        </w:rPr>
        <w:t> </w:t>
      </w:r>
      <w:r>
        <w:rPr>
          <w:sz w:val="20"/>
        </w:rPr>
        <w:t>společně</w:t>
      </w:r>
      <w:r>
        <w:rPr>
          <w:spacing w:val="-7"/>
          <w:sz w:val="20"/>
        </w:rPr>
        <w:t> </w:t>
      </w:r>
      <w:r>
        <w:rPr>
          <w:sz w:val="20"/>
        </w:rPr>
        <w:t>s</w:t>
      </w:r>
      <w:r>
        <w:rPr>
          <w:spacing w:val="-2"/>
          <w:sz w:val="20"/>
        </w:rPr>
        <w:t> </w:t>
      </w:r>
      <w:r>
        <w:rPr>
          <w:sz w:val="20"/>
        </w:rPr>
        <w:t>podklady</w:t>
      </w:r>
      <w:r>
        <w:rPr>
          <w:spacing w:val="-7"/>
          <w:sz w:val="20"/>
        </w:rPr>
        <w:t> </w:t>
      </w:r>
      <w:r>
        <w:rPr>
          <w:sz w:val="20"/>
        </w:rPr>
        <w:t>pro</w:t>
      </w:r>
      <w:r>
        <w:rPr>
          <w:spacing w:val="-6"/>
          <w:sz w:val="20"/>
        </w:rPr>
        <w:t> </w:t>
      </w:r>
      <w:r>
        <w:rPr>
          <w:spacing w:val="-4"/>
          <w:sz w:val="20"/>
        </w:rPr>
        <w:t>ZVA,</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w:t>
      </w:r>
      <w:r>
        <w:rPr>
          <w:spacing w:val="80"/>
          <w:sz w:val="20"/>
        </w:rPr>
        <w:t> </w:t>
      </w:r>
      <w:r>
        <w:rPr>
          <w:sz w:val="20"/>
        </w:rPr>
        <w:t>rozumí</w:t>
      </w:r>
      <w:r>
        <w:rPr>
          <w:spacing w:val="80"/>
          <w:sz w:val="20"/>
        </w:rPr>
        <w:t> </w:t>
      </w:r>
      <w:r>
        <w:rPr>
          <w:sz w:val="20"/>
        </w:rPr>
        <w:t>datum</w:t>
      </w:r>
      <w:r>
        <w:rPr>
          <w:spacing w:val="80"/>
          <w:sz w:val="20"/>
        </w:rPr>
        <w:t> </w:t>
      </w:r>
      <w:r>
        <w:rPr>
          <w:sz w:val="20"/>
        </w:rPr>
        <w:t>předložení</w:t>
      </w:r>
      <w:r>
        <w:rPr>
          <w:spacing w:val="80"/>
          <w:sz w:val="20"/>
        </w:rPr>
        <w:t> </w:t>
      </w:r>
      <w:r>
        <w:rPr>
          <w:sz w:val="20"/>
        </w:rPr>
        <w:t>podkladů</w:t>
      </w:r>
      <w:r>
        <w:rPr>
          <w:spacing w:val="80"/>
          <w:sz w:val="20"/>
        </w:rPr>
        <w:t> </w:t>
      </w:r>
      <w:r>
        <w:rPr>
          <w:sz w:val="20"/>
        </w:rPr>
        <w:t>pro</w:t>
      </w:r>
      <w:r>
        <w:rPr>
          <w:spacing w:val="80"/>
          <w:sz w:val="20"/>
        </w:rPr>
        <w:t> </w:t>
      </w:r>
      <w:r>
        <w:rPr>
          <w:sz w:val="20"/>
        </w:rPr>
        <w:t>ZVA).</w:t>
      </w:r>
      <w:r>
        <w:rPr>
          <w:spacing w:val="80"/>
          <w:sz w:val="20"/>
        </w:rPr>
        <w:t> </w:t>
      </w:r>
      <w:r>
        <w:rPr>
          <w:sz w:val="20"/>
        </w:rPr>
        <w:t>V</w:t>
      </w:r>
      <w:r>
        <w:rPr>
          <w:spacing w:val="-1"/>
          <w:sz w:val="20"/>
        </w:rPr>
        <w:t> </w:t>
      </w:r>
      <w:r>
        <w:rPr>
          <w:sz w:val="20"/>
        </w:rPr>
        <w:t>případě</w:t>
      </w:r>
      <w:r>
        <w:rPr>
          <w:spacing w:val="80"/>
          <w:sz w:val="20"/>
        </w:rPr>
        <w:t> </w:t>
      </w:r>
      <w:r>
        <w:rPr>
          <w:sz w:val="20"/>
        </w:rPr>
        <w:t>zvláštní</w:t>
      </w:r>
      <w:r>
        <w:rPr>
          <w:spacing w:val="80"/>
          <w:sz w:val="20"/>
        </w:rPr>
        <w:t> </w:t>
      </w:r>
      <w:r>
        <w:rPr>
          <w:sz w:val="20"/>
        </w:rPr>
        <w:t>skutečnosti</w:t>
      </w:r>
      <w:r>
        <w:rPr>
          <w:spacing w:val="80"/>
          <w:sz w:val="20"/>
        </w:rPr>
        <w:t> </w:t>
      </w:r>
      <w:r>
        <w:rPr>
          <w:sz w:val="20"/>
        </w:rPr>
        <w:t>spočívající v</w:t>
      </w:r>
      <w:r>
        <w:rPr>
          <w:spacing w:val="-14"/>
          <w:sz w:val="20"/>
        </w:rPr>
        <w:t> </w:t>
      </w:r>
      <w:r>
        <w:rPr>
          <w:sz w:val="20"/>
        </w:rPr>
        <w:t>mimořádné,</w:t>
      </w:r>
      <w:r>
        <w:rPr>
          <w:spacing w:val="-14"/>
          <w:sz w:val="20"/>
        </w:rPr>
        <w:t> </w:t>
      </w:r>
      <w:r>
        <w:rPr>
          <w:sz w:val="20"/>
        </w:rPr>
        <w:t>nepředvídatelné,</w:t>
      </w:r>
      <w:r>
        <w:rPr>
          <w:spacing w:val="-14"/>
          <w:sz w:val="20"/>
        </w:rPr>
        <w:t> </w:t>
      </w:r>
      <w:r>
        <w:rPr>
          <w:sz w:val="20"/>
        </w:rPr>
        <w:t>neodvratitelné</w:t>
      </w:r>
      <w:r>
        <w:rPr>
          <w:spacing w:val="-13"/>
          <w:sz w:val="20"/>
        </w:rPr>
        <w:t> </w:t>
      </w:r>
      <w:r>
        <w:rPr>
          <w:sz w:val="20"/>
        </w:rPr>
        <w:t>a</w:t>
      </w:r>
      <w:r>
        <w:rPr>
          <w:spacing w:val="-14"/>
          <w:sz w:val="20"/>
        </w:rPr>
        <w:t> </w:t>
      </w:r>
      <w:r>
        <w:rPr>
          <w:sz w:val="20"/>
        </w:rPr>
        <w:t>nezaviněné</w:t>
      </w:r>
      <w:r>
        <w:rPr>
          <w:spacing w:val="-14"/>
          <w:sz w:val="20"/>
        </w:rPr>
        <w:t> </w:t>
      </w:r>
      <w:r>
        <w:rPr>
          <w:sz w:val="20"/>
        </w:rPr>
        <w:t>události</w:t>
      </w:r>
      <w:r>
        <w:rPr>
          <w:spacing w:val="-13"/>
          <w:sz w:val="20"/>
        </w:rPr>
        <w:t> </w:t>
      </w:r>
      <w:r>
        <w:rPr>
          <w:sz w:val="20"/>
        </w:rPr>
        <w:t>může</w:t>
      </w:r>
      <w:r>
        <w:rPr>
          <w:spacing w:val="-14"/>
          <w:sz w:val="20"/>
        </w:rPr>
        <w:t> </w:t>
      </w:r>
      <w:r>
        <w:rPr>
          <w:sz w:val="20"/>
        </w:rPr>
        <w:t>Fond</w:t>
      </w:r>
      <w:r>
        <w:rPr>
          <w:spacing w:val="-14"/>
          <w:sz w:val="20"/>
        </w:rPr>
        <w:t> </w:t>
      </w:r>
      <w:r>
        <w:rPr>
          <w:sz w:val="20"/>
        </w:rPr>
        <w:t>na</w:t>
      </w:r>
      <w:r>
        <w:rPr>
          <w:spacing w:val="-13"/>
          <w:sz w:val="20"/>
        </w:rPr>
        <w:t> </w:t>
      </w:r>
      <w:r>
        <w:rPr>
          <w:sz w:val="20"/>
        </w:rPr>
        <w:t>písemnou</w:t>
      </w:r>
      <w:r>
        <w:rPr>
          <w:spacing w:val="-14"/>
          <w:sz w:val="20"/>
        </w:rPr>
        <w:t> </w:t>
      </w:r>
      <w:r>
        <w:rPr>
          <w:sz w:val="20"/>
        </w:rPr>
        <w:t>žádost příjemce podpory posoudit tuto situaci a rozhodnout tak o případném stavění uvedené lhůty. Příjemce podpory je v takovém případě povinen zajistit, aby v době stavění běhu lhůty došlo k nápravě vzniklého 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0"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1560" w:bottom="960" w:left="1600" w:right="1020"/>
        </w:sectPr>
      </w:pPr>
    </w:p>
    <w:p>
      <w:pPr>
        <w:pStyle w:val="ListParagraph"/>
        <w:numPr>
          <w:ilvl w:val="0"/>
          <w:numId w:val="4"/>
        </w:numPr>
        <w:tabs>
          <w:tab w:pos="325" w:val="left" w:leader="none"/>
        </w:tabs>
        <w:spacing w:line="240" w:lineRule="auto" w:before="8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26"/>
        </w:rPr>
      </w:pPr>
    </w:p>
    <w:p>
      <w:pPr>
        <w:pStyle w:val="Heading1"/>
        <w:spacing w:line="265" w:lineRule="exact" w:before="187"/>
      </w:pPr>
      <w:r>
        <w:rPr>
          <w:spacing w:val="-5"/>
        </w:rPr>
        <w:t>V.</w:t>
      </w:r>
    </w:p>
    <w:p>
      <w:pPr>
        <w:pStyle w:val="Heading2"/>
        <w:spacing w:line="265" w:lineRule="exact"/>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37" w:lineRule="auto" w:before="123"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1560" w:bottom="960" w:left="1600" w:right="1020"/>
        </w:sectPr>
      </w:pPr>
    </w:p>
    <w:p>
      <w:pPr>
        <w:pStyle w:val="ListParagraph"/>
        <w:numPr>
          <w:ilvl w:val="1"/>
          <w:numId w:val="5"/>
        </w:numPr>
        <w:tabs>
          <w:tab w:pos="822" w:val="left" w:leader="none"/>
          <w:tab w:pos="4422" w:val="left" w:leader="none"/>
        </w:tabs>
        <w:spacing w:line="240" w:lineRule="auto" w:before="8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9" w:hanging="284"/>
        <w:jc w:val="both"/>
        <w:rPr>
          <w:sz w:val="20"/>
        </w:rPr>
      </w:pPr>
      <w:r>
        <w:rPr>
          <w:sz w:val="20"/>
        </w:rPr>
        <w:t>Porušení lhůty realizace podle článku IV bodu 1 písm. e) bude postiženo takto: do 60 kalendářních dní bez postihu, od 61 do 120 kalendářních dní odvod 0,5 % z poskytnuté podpory, od 121 do 180 kalendářních dní odvod 1 % z poskytnuté podpory, prodlení delší než 180 kalendářních dní 3 % z poskytnuté podpory.</w:t>
      </w:r>
    </w:p>
    <w:p>
      <w:pPr>
        <w:pStyle w:val="ListParagraph"/>
        <w:numPr>
          <w:ilvl w:val="0"/>
          <w:numId w:val="5"/>
        </w:numPr>
        <w:tabs>
          <w:tab w:pos="386" w:val="left" w:leader="none"/>
        </w:tabs>
        <w:spacing w:line="237" w:lineRule="auto" w:before="125"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2" w:after="0"/>
        <w:ind w:left="385" w:right="113"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2"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1560" w:bottom="960" w:left="1600" w:right="1020"/>
        </w:sectPr>
      </w:pPr>
    </w:p>
    <w:p>
      <w:pPr>
        <w:pStyle w:val="ListParagraph"/>
        <w:numPr>
          <w:ilvl w:val="0"/>
          <w:numId w:val="6"/>
        </w:numPr>
        <w:tabs>
          <w:tab w:pos="386" w:val="left" w:leader="none"/>
        </w:tabs>
        <w:spacing w:line="240" w:lineRule="auto" w:before="8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spacing w:before="12"/>
        <w:rPr>
          <w:sz w:val="33"/>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1560" w:bottom="960" w:left="1600" w:right="1020"/>
        </w:sectPr>
      </w:pPr>
    </w:p>
    <w:p>
      <w:pPr>
        <w:spacing w:before="8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6"/>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1"/>
          <w:sz w:val="20"/>
        </w:rPr>
        <w:t> </w:t>
      </w:r>
      <w:r>
        <w:rPr>
          <w:i/>
          <w:sz w:val="20"/>
        </w:rPr>
        <w:t>životního</w:t>
      </w:r>
      <w:r>
        <w:rPr>
          <w:i/>
          <w:spacing w:val="-7"/>
          <w:sz w:val="20"/>
        </w:rPr>
        <w:t> </w:t>
      </w:r>
      <w:r>
        <w:rPr>
          <w:i/>
          <w:sz w:val="20"/>
        </w:rPr>
        <w:t>prostředí</w:t>
      </w:r>
      <w:r>
        <w:rPr>
          <w:i/>
          <w:spacing w:val="-6"/>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4" w:lineRule="auto"/>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2"/>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spacing w:before="1"/>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spacing w:before="11"/>
        <w:rPr>
          <w:sz w:val="19"/>
        </w:rPr>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1560" w:bottom="960" w:left="1600" w:right="1020"/>
        </w:sectPr>
      </w:pPr>
    </w:p>
    <w:p>
      <w:pPr>
        <w:pStyle w:val="BodyText"/>
        <w:spacing w:before="3"/>
        <w:rPr>
          <w:sz w:val="19"/>
        </w:rPr>
      </w:pPr>
    </w:p>
    <w:p>
      <w:pPr>
        <w:pStyle w:val="Heading1"/>
        <w:numPr>
          <w:ilvl w:val="0"/>
          <w:numId w:val="7"/>
        </w:numPr>
        <w:tabs>
          <w:tab w:pos="386" w:val="left" w:leader="none"/>
        </w:tabs>
        <w:spacing w:line="240" w:lineRule="auto" w:before="100"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rPr>
          <w:b/>
          <w:sz w:val="29"/>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2"/>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1560" w:bottom="960" w:left="1600" w:right="1020"/>
        </w:sectPr>
      </w:pPr>
    </w:p>
    <w:p>
      <w:pPr>
        <w:pStyle w:val="BodyText"/>
        <w:spacing w:before="11"/>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line="265" w:lineRule="exact"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1"/>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5"/>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line="237" w:lineRule="auto" w:before="105"/>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9"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line="237" w:lineRule="auto" w:before="11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line="237" w:lineRule="auto"/>
        <w:rPr>
          <w:sz w:val="20"/>
        </w:rPr>
        <w:sectPr>
          <w:pgSz w:w="12240" w:h="15840"/>
          <w:pgMar w:header="708" w:footer="771" w:top="1560" w:bottom="960" w:left="1600" w:right="1020"/>
        </w:sectPr>
      </w:pPr>
    </w:p>
    <w:p>
      <w:pPr>
        <w:pStyle w:val="BodyText"/>
        <w:spacing w:before="11"/>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5" w:lineRule="exact"/>
              <w:rPr>
                <w:sz w:val="20"/>
              </w:rPr>
            </w:pPr>
            <w:r>
              <w:rPr>
                <w:sz w:val="20"/>
              </w:rPr>
              <w:t>uveřejnil</w:t>
            </w:r>
            <w:r>
              <w:rPr>
                <w:spacing w:val="-10"/>
                <w:sz w:val="20"/>
              </w:rPr>
              <w:t> </w:t>
            </w:r>
            <w:r>
              <w:rPr>
                <w:spacing w:val="-2"/>
                <w:sz w:val="20"/>
              </w:rPr>
              <w:t>způsobem</w:t>
            </w:r>
          </w:p>
          <w:p>
            <w:pPr>
              <w:pStyle w:val="TableParagraph"/>
              <w:spacing w:line="265" w:lineRule="exact"/>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before="1"/>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1"/>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line="237" w:lineRule="auto" w:before="3"/>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line="265" w:lineRule="exact"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spacing w:line="265" w:lineRule="exact"/>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before="2"/>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line="265" w:lineRule="exact"/>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rPr>
          <w:b/>
        </w:rPr>
      </w:pPr>
    </w:p>
    <w:p>
      <w:pPr>
        <w:pStyle w:val="BodyText"/>
        <w:spacing w:before="11"/>
        <w:rPr>
          <w:b/>
          <w:sz w:val="18"/>
        </w:rPr>
      </w:pPr>
      <w:r>
        <w:rPr/>
        <w:pict>
          <v:rect style="position:absolute;margin-left:85.103996pt;margin-top:13.722856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0" w:right="767"/>
              <w:jc w:val="right"/>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line="237" w:lineRule="auto" w:before="117"/>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1"/>
              <w:ind w:left="103"/>
              <w:rPr>
                <w:sz w:val="20"/>
              </w:rPr>
            </w:pPr>
            <w:r>
              <w:rPr>
                <w:sz w:val="20"/>
              </w:rPr>
              <w:t>zadavatel</w:t>
            </w:r>
            <w:r>
              <w:rPr>
                <w:spacing w:val="-11"/>
                <w:sz w:val="20"/>
              </w:rPr>
              <w:t> </w:t>
            </w:r>
            <w:r>
              <w:rPr>
                <w:spacing w:val="-2"/>
                <w:sz w:val="20"/>
              </w:rPr>
              <w:t>pochybení</w:t>
            </w:r>
          </w:p>
          <w:p>
            <w:pPr>
              <w:pStyle w:val="TableParagraph"/>
              <w:spacing w:before="1"/>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rPr>
                <w:sz w:val="20"/>
              </w:rPr>
            </w:pPr>
            <w:r>
              <w:rPr>
                <w:spacing w:val="-4"/>
                <w:sz w:val="20"/>
              </w:rPr>
              <w:t>nebo</w:t>
            </w:r>
          </w:p>
          <w:p>
            <w:pPr>
              <w:pStyle w:val="TableParagraph"/>
              <w:spacing w:before="1"/>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line="237" w:lineRule="auto" w:before="3"/>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before="2"/>
              <w:rPr>
                <w:sz w:val="20"/>
              </w:rPr>
            </w:pPr>
            <w:r>
              <w:rPr>
                <w:w w:val="95"/>
                <w:sz w:val="20"/>
              </w:rPr>
              <w:t>výběrovém/zadávacím</w:t>
            </w:r>
            <w:r>
              <w:rPr>
                <w:spacing w:val="77"/>
                <w:sz w:val="20"/>
              </w:rPr>
              <w:t> </w:t>
            </w:r>
            <w:r>
              <w:rPr>
                <w:spacing w:val="-2"/>
                <w:sz w:val="20"/>
              </w:rPr>
              <w:t>řízení</w:t>
            </w:r>
          </w:p>
          <w:p>
            <w:pPr>
              <w:pStyle w:val="TableParagraph"/>
              <w:spacing w:line="265" w:lineRule="exact"/>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29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r>
        <w:trPr>
          <w:trHeight w:val="49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Stanovení</w:t>
            </w:r>
            <w:r>
              <w:rPr>
                <w:spacing w:val="-13"/>
                <w:sz w:val="20"/>
              </w:rPr>
              <w:t> </w:t>
            </w:r>
            <w:r>
              <w:rPr>
                <w:spacing w:val="-2"/>
                <w:sz w:val="20"/>
              </w:rPr>
              <w:t>diskriminačních</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tc>
        <w:tc>
          <w:tcPr>
            <w:tcW w:w="2903" w:type="dxa"/>
            <w:tcBorders>
              <w:left w:val="single" w:sz="4" w:space="0" w:color="000000"/>
              <w:bottom w:val="single" w:sz="4" w:space="0" w:color="000000"/>
            </w:tcBorders>
          </w:tcPr>
          <w:p>
            <w:pPr>
              <w:pStyle w:val="TableParagraph"/>
              <w:spacing w:before="112"/>
              <w:ind w:left="0" w:right="716"/>
              <w:jc w:val="right"/>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stanovené</w:t>
            </w:r>
          </w:p>
        </w:tc>
      </w:tr>
    </w:tbl>
    <w:p>
      <w:pPr>
        <w:spacing w:after="0"/>
        <w:jc w:val="right"/>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14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spacing w:line="265" w:lineRule="exact" w:before="114"/>
              <w:ind w:left="114"/>
              <w:jc w:val="both"/>
              <w:rPr>
                <w:sz w:val="20"/>
              </w:rPr>
            </w:pPr>
            <w:r>
              <w:rPr>
                <w:sz w:val="20"/>
              </w:rPr>
              <w:t>kritérií</w:t>
            </w:r>
            <w:r>
              <w:rPr>
                <w:spacing w:val="-7"/>
                <w:sz w:val="20"/>
              </w:rPr>
              <w:t> </w:t>
            </w:r>
            <w:r>
              <w:rPr>
                <w:sz w:val="20"/>
              </w:rPr>
              <w:t>pro</w:t>
            </w:r>
            <w:r>
              <w:rPr>
                <w:spacing w:val="-4"/>
                <w:sz w:val="20"/>
              </w:rPr>
              <w:t> </w:t>
            </w:r>
            <w:r>
              <w:rPr>
                <w:spacing w:val="-2"/>
                <w:sz w:val="20"/>
              </w:rPr>
              <w:t>vyloučení,</w:t>
            </w:r>
          </w:p>
          <w:p>
            <w:pPr>
              <w:pStyle w:val="TableParagraph"/>
              <w:spacing w:line="265"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7"/>
                <w:sz w:val="20"/>
              </w:rPr>
              <w:t> </w:t>
            </w:r>
            <w:r>
              <w:rPr>
                <w:sz w:val="20"/>
              </w:rPr>
              <w:t>v</w:t>
            </w:r>
            <w:r>
              <w:rPr>
                <w:spacing w:val="-8"/>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line="237" w:lineRule="auto" w:before="3"/>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1"/>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8"/>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line="264" w:lineRule="exact"/>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line="265" w:lineRule="exact" w:before="114"/>
              <w:ind w:left="103"/>
              <w:rPr>
                <w:sz w:val="20"/>
              </w:rPr>
            </w:pPr>
            <w:r>
              <w:rPr>
                <w:sz w:val="20"/>
              </w:rPr>
              <w:t>podmínky</w:t>
            </w:r>
            <w:r>
              <w:rPr>
                <w:spacing w:val="-11"/>
                <w:sz w:val="20"/>
              </w:rPr>
              <w:t> </w:t>
            </w:r>
            <w:r>
              <w:rPr>
                <w:spacing w:val="-2"/>
                <w:sz w:val="20"/>
              </w:rPr>
              <w:t>zjevně</w:t>
            </w:r>
          </w:p>
          <w:p>
            <w:pPr>
              <w:pStyle w:val="TableParagraph"/>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1"/>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line="237" w:lineRule="auto" w:before="4"/>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before="1"/>
              <w:ind w:left="103"/>
              <w:jc w:val="both"/>
              <w:rPr>
                <w:sz w:val="20"/>
              </w:rPr>
            </w:pPr>
            <w:r>
              <w:rPr>
                <w:spacing w:val="-2"/>
                <w:sz w:val="20"/>
              </w:rPr>
              <w:t>prostřednictvím</w:t>
            </w:r>
            <w:r>
              <w:rPr>
                <w:spacing w:val="15"/>
                <w:sz w:val="20"/>
              </w:rPr>
              <w:t> </w:t>
            </w:r>
            <w:r>
              <w:rPr>
                <w:spacing w:val="-2"/>
                <w:sz w:val="20"/>
              </w:rPr>
              <w:t>přímého</w:t>
            </w:r>
          </w:p>
          <w:p>
            <w:pPr>
              <w:pStyle w:val="TableParagraph"/>
              <w:spacing w:before="1"/>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1"/>
              <w:ind w:left="103"/>
              <w:rPr>
                <w:sz w:val="20"/>
              </w:rPr>
            </w:pPr>
            <w:r>
              <w:rPr>
                <w:spacing w:val="-2"/>
                <w:sz w:val="20"/>
              </w:rPr>
              <w:t>formální</w:t>
            </w:r>
          </w:p>
        </w:tc>
      </w:tr>
      <w:tr>
        <w:trPr>
          <w:trHeight w:val="150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1823"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rPr>
                <w:sz w:val="20"/>
              </w:rPr>
            </w:pPr>
            <w:r>
              <w:rPr>
                <w:sz w:val="20"/>
              </w:rPr>
              <w:t>dodavatele</w:t>
            </w:r>
            <w:r>
              <w:rPr>
                <w:spacing w:val="-8"/>
                <w:sz w:val="20"/>
              </w:rPr>
              <w:t> </w:t>
            </w:r>
            <w:r>
              <w:rPr>
                <w:sz w:val="20"/>
              </w:rPr>
              <w:t>od</w:t>
            </w:r>
            <w:r>
              <w:rPr>
                <w:spacing w:val="-7"/>
                <w:sz w:val="20"/>
              </w:rPr>
              <w:t> </w:t>
            </w:r>
            <w:r>
              <w:rPr>
                <w:spacing w:val="-2"/>
                <w:sz w:val="20"/>
              </w:rPr>
              <w:t>podání</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023"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line="237" w:lineRule="auto" w:before="117"/>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1"/>
              <w:rPr>
                <w:sz w:val="20"/>
              </w:rPr>
            </w:pPr>
            <w:r>
              <w:rPr>
                <w:sz w:val="20"/>
              </w:rPr>
              <w:t>relevantního</w:t>
            </w:r>
            <w:r>
              <w:rPr>
                <w:spacing w:val="-11"/>
                <w:sz w:val="20"/>
              </w:rPr>
              <w:t> </w:t>
            </w:r>
            <w:r>
              <w:rPr>
                <w:spacing w:val="-2"/>
                <w:sz w:val="20"/>
              </w:rPr>
              <w:t>odůvodnění</w:t>
            </w:r>
          </w:p>
          <w:p>
            <w:pPr>
              <w:pStyle w:val="TableParagraph"/>
              <w:spacing w:line="265" w:lineRule="exact"/>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line="265" w:lineRule="exact"/>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6" w:hRule="atLeast"/>
        </w:trPr>
        <w:tc>
          <w:tcPr>
            <w:tcW w:w="670" w:type="dxa"/>
            <w:tcBorders>
              <w:right w:val="single" w:sz="4" w:space="0" w:color="000000"/>
            </w:tcBorders>
          </w:tcPr>
          <w:p>
            <w:pPr>
              <w:pStyle w:val="TableParagraph"/>
              <w:spacing w:before="115"/>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5"/>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5"/>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2"/>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1025"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line="265" w:lineRule="exact" w:before="114"/>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rPr>
                <w:sz w:val="20"/>
              </w:rPr>
            </w:pPr>
            <w:r>
              <w:rPr>
                <w:sz w:val="20"/>
              </w:rPr>
              <w:t>nevysvětlují,</w:t>
            </w:r>
            <w:r>
              <w:rPr>
                <w:spacing w:val="-14"/>
                <w:sz w:val="20"/>
              </w:rPr>
              <w:t> </w:t>
            </w:r>
            <w:r>
              <w:rPr>
                <w:sz w:val="20"/>
              </w:rPr>
              <w:t>jakým</w:t>
            </w:r>
            <w:r>
              <w:rPr>
                <w:spacing w:val="-14"/>
                <w:sz w:val="20"/>
              </w:rPr>
              <w:t> </w:t>
            </w:r>
            <w:r>
              <w:rPr>
                <w:sz w:val="20"/>
              </w:rPr>
              <w:t>způsobem byly</w:t>
            </w:r>
            <w:r>
              <w:rPr>
                <w:spacing w:val="-6"/>
                <w:sz w:val="20"/>
              </w:rPr>
              <w:t> </w:t>
            </w:r>
            <w:r>
              <w:rPr>
                <w:sz w:val="20"/>
              </w:rPr>
              <w:t>hodnoceny</w:t>
            </w:r>
            <w:r>
              <w:rPr>
                <w:spacing w:val="-5"/>
                <w:sz w:val="20"/>
              </w:rPr>
              <w:t> </w:t>
            </w:r>
            <w:r>
              <w:rPr>
                <w:sz w:val="20"/>
              </w:rPr>
              <w:t>nabídky</w:t>
            </w:r>
            <w:r>
              <w:rPr>
                <w:spacing w:val="-6"/>
                <w:sz w:val="20"/>
              </w:rPr>
              <w:t> </w:t>
            </w:r>
            <w:r>
              <w:rPr>
                <w:sz w:val="20"/>
              </w:rPr>
              <w:t>a</w:t>
            </w:r>
            <w:r>
              <w:rPr>
                <w:spacing w:val="-5"/>
                <w:sz w:val="20"/>
              </w:rPr>
              <w:t> </w:t>
            </w:r>
            <w:r>
              <w:rPr>
                <w:spacing w:val="-5"/>
                <w:sz w:val="20"/>
              </w:rPr>
              <w:t>jak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290"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4"/>
              <w:ind w:right="185"/>
              <w:rPr>
                <w:sz w:val="20"/>
              </w:rPr>
            </w:pPr>
            <w:r>
              <w:rPr>
                <w:sz w:val="20"/>
              </w:rPr>
              <w:t>byla vybrána nejvýhodnější 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5"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spacing w:before="1"/>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2"/>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line="237" w:lineRule="auto" w:before="3"/>
              <w:ind w:right="152"/>
              <w:rPr>
                <w:sz w:val="20"/>
              </w:rPr>
            </w:pPr>
            <w:r>
              <w:rPr>
                <w:sz w:val="20"/>
              </w:rPr>
              <w:t>výběrového/zadávacího</w:t>
            </w:r>
            <w:r>
              <w:rPr>
                <w:spacing w:val="-14"/>
                <w:sz w:val="20"/>
              </w:rPr>
              <w:t> </w:t>
            </w:r>
            <w:r>
              <w:rPr>
                <w:sz w:val="20"/>
              </w:rPr>
              <w:t>řízení má za následek porušení</w:t>
            </w:r>
          </w:p>
          <w:p>
            <w:pPr>
              <w:pStyle w:val="TableParagraph"/>
              <w:spacing w:before="1"/>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1"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line="265" w:lineRule="exact" w:before="1"/>
              <w:ind w:left="114"/>
              <w:rPr>
                <w:sz w:val="20"/>
              </w:rPr>
            </w:pPr>
            <w:r>
              <w:rPr>
                <w:spacing w:val="-2"/>
                <w:sz w:val="20"/>
              </w:rPr>
              <w:t>výsledek</w:t>
            </w:r>
          </w:p>
          <w:p>
            <w:pPr>
              <w:pStyle w:val="TableParagraph"/>
              <w:spacing w:line="265" w:lineRule="exact"/>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2"/>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75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9"/>
                <w:sz w:val="20"/>
              </w:rPr>
              <w:t> </w:t>
            </w:r>
            <w:r>
              <w:rPr>
                <w:sz w:val="20"/>
              </w:rPr>
              <w:t>podílela</w:t>
            </w:r>
            <w:r>
              <w:rPr>
                <w:spacing w:val="-9"/>
                <w:sz w:val="20"/>
              </w:rPr>
              <w:t> </w:t>
            </w:r>
            <w:r>
              <w:rPr>
                <w:spacing w:val="-2"/>
                <w:sz w:val="20"/>
              </w:rPr>
              <w:t>osoba</w:t>
            </w:r>
          </w:p>
        </w:tc>
      </w:tr>
    </w:tbl>
    <w:p>
      <w:pPr>
        <w:pStyle w:val="BodyText"/>
        <w:spacing w:before="2"/>
        <w:rPr>
          <w:sz w:val="13"/>
        </w:rPr>
      </w:pPr>
      <w:r>
        <w:rPr/>
        <w:pict>
          <v:rect style="position:absolute;margin-left:85.103996pt;margin-top:9.973638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1"/>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2"/>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1"/>
              <w:ind w:left="0"/>
              <w:rPr>
                <w:sz w:val="19"/>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spacing w:before="1"/>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1"/>
              <w:ind w:left="103"/>
              <w:rPr>
                <w:sz w:val="20"/>
              </w:rPr>
            </w:pPr>
            <w:r>
              <w:rPr>
                <w:sz w:val="20"/>
              </w:rPr>
              <w:t>závažnosti</w:t>
            </w:r>
            <w:r>
              <w:rPr>
                <w:spacing w:val="-14"/>
                <w:sz w:val="20"/>
              </w:rPr>
              <w:t> </w:t>
            </w:r>
            <w:r>
              <w:rPr>
                <w:spacing w:val="-2"/>
                <w:sz w:val="20"/>
              </w:rPr>
              <w:t>porušení</w:t>
            </w:r>
          </w:p>
        </w:tc>
      </w:tr>
    </w:tbl>
    <w:sectPr>
      <w:pgSz w:w="12240" w:h="15840"/>
      <w:pgMar w:header="708" w:footer="771" w:top="156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569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0272">
          <wp:simplePos x="0" y="0"/>
          <wp:positionH relativeFrom="page">
            <wp:posOffset>1080135</wp:posOffset>
          </wp:positionH>
          <wp:positionV relativeFrom="page">
            <wp:posOffset>449580</wp:posOffset>
          </wp:positionV>
          <wp:extent cx="5719445"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9445"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1850" w:hanging="358"/>
      </w:pPr>
      <w:rPr>
        <w:rFonts w:hint="default"/>
        <w:lang w:val="cs-CZ" w:eastAsia="en-US" w:bidi="ar-SA"/>
      </w:rPr>
    </w:lvl>
    <w:lvl w:ilvl="4">
      <w:start w:val="0"/>
      <w:numFmt w:val="bullet"/>
      <w:lvlText w:val="•"/>
      <w:lvlJc w:val="left"/>
      <w:pPr>
        <w:ind w:left="2960" w:hanging="358"/>
      </w:pPr>
      <w:rPr>
        <w:rFonts w:hint="default"/>
        <w:lang w:val="cs-CZ" w:eastAsia="en-US" w:bidi="ar-SA"/>
      </w:rPr>
    </w:lvl>
    <w:lvl w:ilvl="5">
      <w:start w:val="0"/>
      <w:numFmt w:val="bullet"/>
      <w:lvlText w:val="•"/>
      <w:lvlJc w:val="left"/>
      <w:pPr>
        <w:ind w:left="4070" w:hanging="358"/>
      </w:pPr>
      <w:rPr>
        <w:rFonts w:hint="default"/>
        <w:lang w:val="cs-CZ" w:eastAsia="en-US" w:bidi="ar-SA"/>
      </w:rPr>
    </w:lvl>
    <w:lvl w:ilvl="6">
      <w:start w:val="0"/>
      <w:numFmt w:val="bullet"/>
      <w:lvlText w:val="•"/>
      <w:lvlJc w:val="left"/>
      <w:pPr>
        <w:ind w:left="5180" w:hanging="358"/>
      </w:pPr>
      <w:rPr>
        <w:rFonts w:hint="default"/>
        <w:lang w:val="cs-CZ" w:eastAsia="en-US" w:bidi="ar-SA"/>
      </w:rPr>
    </w:lvl>
    <w:lvl w:ilvl="7">
      <w:start w:val="0"/>
      <w:numFmt w:val="bullet"/>
      <w:lvlText w:val="•"/>
      <w:lvlJc w:val="left"/>
      <w:pPr>
        <w:ind w:left="6290" w:hanging="358"/>
      </w:pPr>
      <w:rPr>
        <w:rFonts w:hint="default"/>
        <w:lang w:val="cs-CZ" w:eastAsia="en-US" w:bidi="ar-SA"/>
      </w:rPr>
    </w:lvl>
    <w:lvl w:ilvl="8">
      <w:start w:val="0"/>
      <w:numFmt w:val="bullet"/>
      <w:lvlText w:val="•"/>
      <w:lvlJc w:val="left"/>
      <w:pPr>
        <w:ind w:left="7400"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2025-01-08T07:05:43Z</dcterms:created>
  <dcterms:modified xsi:type="dcterms:W3CDTF">2025-01-08T07:05:43Z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pro Microsoft 365</vt:lpwstr>
  </property>
  <property fmtid="{D5CDD505-2E9C-101B-9397-08002B2CF9AE}" pid="4" name="LastSaved">
    <vt:filetime>2025-01-08T00:00:00Z</vt:filetime>
  </property>
</Properties>
</file>