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957" w:h="547" w:wrap="none" w:hAnchor="page" w:x="1617" w:y="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JJJ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Povodí Ohře</w:t>
      </w:r>
    </w:p>
    <w:p>
      <w:pPr>
        <w:widowControl w:val="0"/>
        <w:spacing w:line="360" w:lineRule="exact"/>
      </w:pPr>
      <w:r>
        <w:drawing>
          <wp:anchor distT="0" distB="0" distL="0" distR="18415" simplePos="0" relativeHeight="62914690" behindDoc="1" locked="0" layoutInCell="1" allowOverlap="1">
            <wp:simplePos x="0" y="0"/>
            <wp:positionH relativeFrom="page">
              <wp:posOffset>721360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257" w:right="817" w:bottom="1778" w:header="249" w:footer="1350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341"/>
        <w:gridCol w:w="4200"/>
      </w:tblGrid>
      <w:tr>
        <w:trPr>
          <w:trHeight w:val="8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Ze dne: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ŠINDLAR s.r.o.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 Brně 372/2a</w:t>
            </w:r>
          </w:p>
        </w:tc>
      </w:tr>
      <w:tr>
        <w:trPr>
          <w:trHeight w:val="103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1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 06 Hradec Králové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widowControl w:val="0"/>
        <w:spacing w:after="67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420" w:line="240" w:lineRule="auto"/>
        <w:ind w:right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0"/>
      <w:bookmarkEnd w:id="1"/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/>
        <w:jc w:val="both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2955290</wp:posOffset>
                </wp:positionH>
                <wp:positionV relativeFrom="paragraph">
                  <wp:posOffset>12700</wp:posOffset>
                </wp:positionV>
                <wp:extent cx="883920" cy="9417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941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502129/5/2025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502 129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31.3.2025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98 450,- Kč 19292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70000000000002pt;margin-top:1.pt;width:69.600000000000009pt;height:74.15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502129/5/2025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502 129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31.3.2025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98 450,- Kč 19292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akce: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840" w:right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střediska: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40" w:right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840" w:right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80" w:line="240" w:lineRule="auto"/>
        <w:ind w:right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Revitalizace Kamenice v Rabštejnu</w:t>
      </w:r>
      <w:bookmarkEnd w:id="3"/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8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diagnostického průzkumu – posouzení využitelnosti znovu získané asfaltové směsi (dle vyhlášky 283/2023 Sb.), včetně provedení vrtů k odběru vzorků asfaltu k akci „Revitalizace Kamenice v Rabštejnu“. Výsledky budou předány formou Protokolu o zkoušce.</w:t>
      </w:r>
    </w:p>
    <w:tbl>
      <w:tblPr>
        <w:tblOverlap w:val="never"/>
        <w:jc w:val="center"/>
        <w:tblLayout w:type="fixed"/>
      </w:tblPr>
      <w:tblGrid>
        <w:gridCol w:w="3374"/>
        <w:gridCol w:w="7459"/>
      </w:tblGrid>
      <w:tr>
        <w:trPr>
          <w:trHeight w:val="115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objednatele: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Ing. Markéta Horáková, manažer projektů tel.: + 420 416 707 862 mobil: + 420 703 484 030 e-mail: </w:t>
            </w:r>
            <w:r>
              <w:fldChar w:fldCharType="begin"/>
            </w:r>
            <w:r>
              <w:rPr/>
              <w:instrText> HYPERLINK "mailto:Marketa.Horakova@poh.cz"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Marketa.Horakova@poh.cz</w:t>
            </w:r>
            <w:r>
              <w:fldChar w:fldCharType="end"/>
            </w:r>
          </w:p>
        </w:tc>
      </w:tr>
      <w:tr>
        <w:trPr>
          <w:trHeight w:val="122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Adresa pro doručení: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Odbor plánování projektů a zakázek Bezručova 4219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430 03 Chomutov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8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Předat faktury lze i elektronicky na adresu: </w:t>
      </w:r>
      <w:r>
        <w:fldChar w:fldCharType="begin"/>
      </w:r>
      <w:r>
        <w:rPr/>
        <w:instrText> HYPERLINK "mailto:faktury-pr@poh.cz"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faktury-pr@poh.cz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8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provedení diagnostického průzkumu je dle cenové nabídky zaslané dne 20.12.2024 98 450,- Kč bez DPH.</w: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6"/>
      <w:bookmarkEnd w:id="7"/>
      <w:bookmarkEnd w:id="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8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1580" w:right="0" w:hanging="70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vypracování laboratorního rozboru bude fakturována na základě předávacího protokolu odsouhlaseného zástupcem objednatele – manažerem projektu.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0" w:right="0" w:firstLine="8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Předávací protokol bude součástí vystaveného daňového dokladu.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1580" w:right="0" w:hanging="70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vystavit řádný daňový doklad do 15 dnů ode dne uskutečnění zdanitelného plnění.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1580" w:right="0" w:hanging="70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 biologického průzkumu.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1580" w:right="0" w:hanging="70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0" w:line="240" w:lineRule="auto"/>
        <w:ind w:left="1580" w:right="0" w:hanging="70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588" w:val="left"/>
        </w:tabs>
        <w:bidi w:val="0"/>
        <w:spacing w:before="0" w:after="440" w:line="240" w:lineRule="auto"/>
        <w:ind w:left="1580" w:right="0" w:hanging="70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1580" w:right="0" w:hanging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vrácení jednoho potvrzeného vyhotovení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Linda Jelínková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558165</wp:posOffset>
            </wp:positionH>
            <wp:positionV relativeFrom="margin">
              <wp:posOffset>-359410</wp:posOffset>
            </wp:positionV>
            <wp:extent cx="2164080" cy="966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Odboru plánování projektů a zakázek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43" w:left="257" w:right="817" w:bottom="1777" w:header="815" w:footer="134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ind w:firstLine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300"/>
      <w:ind w:left="840" w:firstLine="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ind w:left="22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