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5956300</wp:posOffset>
                </wp:positionH>
                <wp:positionV relativeFrom="paragraph">
                  <wp:posOffset>12700</wp:posOffset>
                </wp:positionV>
                <wp:extent cx="594360" cy="12827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2025000512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9.pt;margin-top:1.pt;width:46.800000000000004pt;height:10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2025000512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5"/>
          <w:b/>
          <w:bCs/>
          <w:sz w:val="18"/>
          <w:szCs w:val="18"/>
          <w:u w:val="single"/>
        </w:rPr>
        <w:t>KUPNÍ SMLOUVA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center"/>
      </w:pPr>
      <w:r>
        <w:rPr>
          <w:rStyle w:val="CharStyle5"/>
        </w:rPr>
        <w:t>podle ustanovení § 2079 a násl. zákona č. 89/2012 Sb., občanský zákoník,</w:t>
        <w:br/>
        <w:t>uzavřená mezi</w:t>
      </w:r>
    </w:p>
    <w:tbl>
      <w:tblPr>
        <w:tblOverlap w:val="never"/>
        <w:jc w:val="center"/>
        <w:tblLayout w:type="fixed"/>
      </w:tblPr>
      <w:tblGrid>
        <w:gridCol w:w="2654"/>
        <w:gridCol w:w="6192"/>
      </w:tblGrid>
      <w:tr>
        <w:trPr>
          <w:trHeight w:val="5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Kamenice 798/1 d, 625 00 Brno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MUDr. Hana Albrechtová, ředitelka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7"/>
                <w:spacing w:val="1"/>
                <w:shd w:val="clear" w:color="auto" w:fill="000000"/>
              </w:rPr>
              <w:t>..</w:t>
            </w:r>
            <w:r>
              <w:rPr>
                <w:rStyle w:val="CharStyle17"/>
                <w:spacing w:val="2"/>
                <w:shd w:val="clear" w:color="auto" w:fill="000000"/>
              </w:rPr>
              <w:t>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3"/>
                <w:shd w:val="clear" w:color="auto" w:fill="000000"/>
              </w:rPr>
              <w:t>.....</w:t>
            </w:r>
            <w:r>
              <w:rPr>
                <w:rStyle w:val="CharStyle17"/>
                <w:spacing w:val="4"/>
                <w:shd w:val="clear" w:color="auto" w:fill="000000"/>
              </w:rPr>
              <w:t>....</w:t>
            </w:r>
            <w:r>
              <w:rPr>
                <w:rStyle w:val="CharStyle17"/>
                <w:shd w:val="clear" w:color="auto" w:fill="000000"/>
              </w:rPr>
              <w:t>​........</w:t>
            </w:r>
            <w:r>
              <w:rPr>
                <w:rStyle w:val="CharStyle17"/>
                <w:spacing w:val="1"/>
                <w:shd w:val="clear" w:color="auto" w:fill="000000"/>
              </w:rPr>
              <w:t>.........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5"/>
                <w:shd w:val="clear" w:color="auto" w:fill="000000"/>
              </w:rPr>
              <w:t>.......</w:t>
            </w:r>
            <w:r>
              <w:rPr>
                <w:rStyle w:val="CharStyle17"/>
                <w:spacing w:val="6"/>
                <w:shd w:val="clear" w:color="auto" w:fill="000000"/>
              </w:rPr>
              <w:t>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3"/>
                <w:shd w:val="clear" w:color="auto" w:fill="000000"/>
              </w:rPr>
              <w:t>..</w:t>
            </w:r>
            <w:r>
              <w:rPr>
                <w:rStyle w:val="CharStyle17"/>
                <w:spacing w:val="4"/>
                <w:shd w:val="clear" w:color="auto" w:fill="000000"/>
              </w:rPr>
              <w:t>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3"/>
                <w:shd w:val="clear" w:color="auto" w:fill="000000"/>
              </w:rPr>
              <w:t>..</w:t>
            </w:r>
            <w:r>
              <w:rPr>
                <w:rStyle w:val="CharStyle17"/>
                <w:spacing w:val="4"/>
                <w:shd w:val="clear" w:color="auto" w:fill="000000"/>
              </w:rPr>
              <w:t>......</w:t>
            </w:r>
            <w:r>
              <w:rPr>
                <w:rStyle w:val="CharStyle17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1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...............................</w:t>
            </w:r>
            <w:r>
              <w:rPr>
                <w:rStyle w:val="CharStyle17"/>
                <w:spacing w:val="2"/>
                <w:u w:val="single"/>
                <w:shd w:val="clear" w:color="auto" w:fill="000000"/>
                <w:lang w:val="en-US" w:eastAsia="en-US" w:bidi="en-US"/>
              </w:rPr>
              <w:t>....</w:t>
            </w:r>
            <w:r>
              <w:rPr>
                <w:rStyle w:val="CharStyle17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7"/>
                <w:color w:val="83A0CF"/>
                <w:lang w:val="en-US" w:eastAsia="en-US" w:bidi="en-US"/>
              </w:rPr>
              <w:t xml:space="preserve"> 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8"/>
                <w:shd w:val="clear" w:color="auto" w:fill="000000"/>
              </w:rPr>
              <w:t>...</w:t>
            </w:r>
            <w:r>
              <w:rPr>
                <w:rStyle w:val="CharStyle17"/>
                <w:spacing w:val="9"/>
                <w:shd w:val="clear" w:color="auto" w:fill="000000"/>
              </w:rPr>
              <w:t>..</w:t>
            </w:r>
            <w:r>
              <w:rPr>
                <w:rStyle w:val="CharStyle17"/>
                <w:shd w:val="clear" w:color="auto" w:fill="000000"/>
              </w:rPr>
              <w:t>​....</w:t>
            </w:r>
            <w:r>
              <w:rPr>
                <w:rStyle w:val="CharStyle17"/>
                <w:spacing w:val="1"/>
                <w:shd w:val="clear" w:color="auto" w:fill="000000"/>
              </w:rPr>
              <w:t>.....</w:t>
            </w:r>
            <w:r>
              <w:rPr>
                <w:rStyle w:val="CharStyle17"/>
                <w:shd w:val="clear" w:color="auto" w:fill="000000"/>
              </w:rPr>
              <w:t>​.......​</w:t>
            </w:r>
            <w:r>
              <w:rPr>
                <w:rStyle w:val="CharStyle17"/>
                <w:spacing w:val="6"/>
                <w:shd w:val="clear" w:color="auto" w:fill="000000"/>
              </w:rPr>
              <w:t>...</w:t>
            </w:r>
            <w:r>
              <w:rPr>
                <w:rStyle w:val="CharStyle17"/>
                <w:spacing w:val="7"/>
                <w:shd w:val="clear" w:color="auto" w:fill="000000"/>
              </w:rPr>
              <w:t>...</w:t>
            </w:r>
            <w:r>
              <w:rPr>
                <w:rStyle w:val="CharStyle17"/>
                <w:shd w:val="clear" w:color="auto" w:fill="000000"/>
              </w:rPr>
              <w:t>​......</w:t>
            </w:r>
          </w:p>
        </w:tc>
      </w:tr>
      <w:tr>
        <w:trPr>
          <w:trHeight w:val="11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Zápis v OR: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00346292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CZ00346292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Krajský soud v Brně sp. zn. Pr 1245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MONETA Money Bank, a.s., č. ú. 117203514/0600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 xml:space="preserve">(dále jen </w:t>
      </w:r>
      <w:r>
        <w:rPr>
          <w:rStyle w:val="CharStyle14"/>
          <w:b/>
          <w:bCs/>
          <w:i/>
          <w:iCs/>
        </w:rPr>
        <w:t>„kupující 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6187"/>
      </w:tblGrid>
      <w:tr>
        <w:trPr>
          <w:trHeight w:val="6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Či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SNT Plus s.r.o.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Novodvorská 994/138, 142 00 Praha 4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Ing. Ludvík Tót, jednatel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7"/>
                <w:spacing w:val="2"/>
                <w:shd w:val="clear" w:color="auto" w:fill="000000"/>
              </w:rPr>
              <w:t>......</w:t>
            </w:r>
            <w:r>
              <w:rPr>
                <w:rStyle w:val="CharStyle17"/>
                <w:spacing w:val="3"/>
                <w:shd w:val="clear" w:color="auto" w:fill="000000"/>
              </w:rPr>
              <w:t>......</w:t>
            </w:r>
            <w:r>
              <w:rPr>
                <w:rStyle w:val="CharStyle17"/>
                <w:shd w:val="clear" w:color="auto" w:fill="000000"/>
              </w:rPr>
              <w:t>​.........</w:t>
            </w:r>
            <w:r>
              <w:rPr>
                <w:rStyle w:val="CharStyle17"/>
                <w:spacing w:val="1"/>
                <w:shd w:val="clear" w:color="auto" w:fill="000000"/>
              </w:rPr>
              <w:t>........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3"/>
                <w:shd w:val="clear" w:color="auto" w:fill="000000"/>
              </w:rPr>
              <w:t>..</w:t>
            </w:r>
            <w:r>
              <w:rPr>
                <w:rStyle w:val="CharStyle17"/>
                <w:spacing w:val="4"/>
                <w:shd w:val="clear" w:color="auto" w:fill="000000"/>
              </w:rPr>
              <w:t>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3"/>
                <w:shd w:val="clear" w:color="auto" w:fill="000000"/>
              </w:rPr>
              <w:t>..</w:t>
            </w:r>
            <w:r>
              <w:rPr>
                <w:rStyle w:val="CharStyle17"/>
                <w:spacing w:val="4"/>
                <w:shd w:val="clear" w:color="auto" w:fill="000000"/>
              </w:rPr>
              <w:t>......</w:t>
            </w:r>
            <w:r>
              <w:rPr>
                <w:rStyle w:val="CharStyle17"/>
                <w:u w:val="single"/>
                <w:shd w:val="clear" w:color="auto" w:fill="000000"/>
                <w:lang w:val="en-US" w:eastAsia="en-US" w:bidi="en-US"/>
              </w:rPr>
              <w:t>​.............................</w:t>
            </w:r>
            <w:r>
              <w:rPr>
                <w:rStyle w:val="CharStyle1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CharStyle17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7"/>
                <w:color w:val="83A0CF"/>
                <w:lang w:val="en-US" w:eastAsia="en-US" w:bidi="en-US"/>
              </w:rPr>
              <w:t xml:space="preserve"> 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7"/>
                <w:shd w:val="clear" w:color="auto" w:fill="000000"/>
              </w:rPr>
              <w:t>......</w:t>
            </w:r>
            <w:r>
              <w:rPr>
                <w:rStyle w:val="CharStyle17"/>
                <w:shd w:val="clear" w:color="auto" w:fill="000000"/>
              </w:rPr>
              <w:t>​....</w:t>
            </w:r>
            <w:r>
              <w:rPr>
                <w:rStyle w:val="CharStyle17"/>
                <w:spacing w:val="1"/>
                <w:shd w:val="clear" w:color="auto" w:fill="000000"/>
              </w:rPr>
              <w:t>.....</w:t>
            </w:r>
            <w:r>
              <w:rPr>
                <w:rStyle w:val="CharStyle17"/>
                <w:shd w:val="clear" w:color="auto" w:fill="000000"/>
              </w:rPr>
              <w:t>​.......​.......​......</w:t>
            </w:r>
          </w:p>
        </w:tc>
      </w:tr>
      <w:tr>
        <w:trPr>
          <w:trHeight w:val="7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25701576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CZ25701576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Městský soud v Praze sp. zn. C 62478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Raiffeisenbank a.s., č.ú.: 1121103502/5500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 xml:space="preserve">(dále jen </w:t>
      </w:r>
      <w:r>
        <w:rPr>
          <w:rStyle w:val="CharStyle14"/>
          <w:b/>
          <w:bCs/>
          <w:i/>
          <w:iCs/>
        </w:rPr>
        <w:t>„prodávající'</w:t>
      </w:r>
    </w:p>
    <w:p>
      <w:pPr>
        <w:widowControl w:val="0"/>
        <w:spacing w:after="75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88" w:lineRule="auto"/>
        <w:ind w:left="400" w:right="0" w:hanging="400"/>
        <w:jc w:val="both"/>
      </w:pPr>
      <w:r>
        <w:rPr>
          <w:rStyle w:val="CharStyle5"/>
        </w:rPr>
        <w:t>Prodávající je oprávněn na základě svého vlastnického práva nakládat se zbožím v podobě výukových figurín a příslušenství k výukovým figurínám. Bližší specifikace tohoto zboží je uvedena v příloze č. 1, která je nedílnou součástí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/>
        <w:ind w:left="400" w:right="0" w:hanging="400"/>
        <w:jc w:val="both"/>
      </w:pPr>
      <w:r>
        <w:rPr>
          <w:rStyle w:val="CharStyle5"/>
        </w:rPr>
        <w:t>Prodávající prodává zboží podle čl. 1 této smlouvy se všemi jeho součástmi a příslušenstvím kupujícímu, a kupující kupuje toto zboží do vlastnictví Jihomoravského kraje, jako svého zřizovatele, za kupní cenu podle čl. 6 této smlouvy. Součástí závazku prodávajícího k dodání zboží podle čl. 1 této smlouvy je instalace zboží, uvedení zboží do provozu a zaškolení obsluhy v místě splnění tohoto závazku, kterým je výcvikové a vzdělávací středisko v sídle kupujícího podle záhlaví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5"/>
        </w:rPr>
        <w:t>Součástí dodávky zboží dle čl. 1 této smlouvy je také dodání veškerých návodů k obsluze, odpovídající technické dokumentace v tištěné a datové podobě, dodání dokladů prokazujících kvalitu a schválení pro užívání v České republice, zejm. dodání příslušných atestů, certifikátů, prohlášení o shodě a návodu k obsluze, to vše v českém jazyce.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60" w:line="286" w:lineRule="auto"/>
        <w:ind w:left="400" w:right="0" w:hanging="400"/>
        <w:jc w:val="both"/>
      </w:pPr>
      <w:r>
        <w:rPr>
          <w:rStyle w:val="CharStyle5"/>
        </w:rPr>
        <w:t xml:space="preserve">Prodávající se zavazuje splnit svůj závazek k dodání zboží podle čl. 1 této smlouvy nejpozději do </w:t>
      </w:r>
      <w:r>
        <w:rPr>
          <w:rStyle w:val="CharStyle5"/>
          <w:b/>
          <w:bCs/>
        </w:rPr>
        <w:t xml:space="preserve">30-ti dní </w:t>
      </w:r>
      <w:r>
        <w:rPr>
          <w:rStyle w:val="CharStyle5"/>
        </w:rPr>
        <w:t>od účinnosti kupní smlouvy. Závazek prodávajícího k dodání zboží podle čl. 1 této smlouvy se pak považuje za splněný po dodání zboží a zaškolení obsluhy dnem předání a převzetí tohoto zboží formou písemného předávacího protokolu, podepsaného oběma stranami.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100" w:line="286" w:lineRule="auto"/>
        <w:ind w:left="400" w:right="0" w:hanging="400"/>
        <w:jc w:val="both"/>
      </w:pPr>
      <w:r>
        <w:rPr>
          <w:rStyle w:val="CharStyle5"/>
        </w:rPr>
        <w:t>Kupující se zavazuje zaplatit prodávajícímu za předmět koupě a prodeje podle čl. 1 této smlouvy kupní cenu ve výši: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5"/>
          <w:b/>
          <w:bCs/>
        </w:rPr>
        <w:t xml:space="preserve">77 600,- </w:t>
      </w:r>
      <w:r>
        <w:rPr>
          <w:rStyle w:val="CharStyle5"/>
        </w:rPr>
        <w:t xml:space="preserve">Kč bez DPH, tj. </w:t>
      </w:r>
      <w:r>
        <w:rPr>
          <w:rStyle w:val="CharStyle5"/>
          <w:b/>
          <w:bCs/>
        </w:rPr>
        <w:t xml:space="preserve">93 896,- </w:t>
      </w:r>
      <w:r>
        <w:rPr>
          <w:rStyle w:val="CharStyle5"/>
        </w:rPr>
        <w:t>Kč včetně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400" w:right="0" w:firstLine="20"/>
        <w:jc w:val="both"/>
      </w:pPr>
      <w:r>
        <w:rPr>
          <w:rStyle w:val="CharStyle5"/>
        </w:rPr>
        <w:t>Součástí této ceny jsou veškeré náklady prodávajícího na splnění jeho závazku k dodání zboží podle této smlouvy a daň z přidané hodnoty v sazbě podle zákona.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 xml:space="preserve">Kupní cena podle čl. 6 této smlouvy je splatná na účet prodávajícího po řádném splnění závazku prodávajícího k dodání zboží podle čl. 1 této smlouvy způsobem podle čl. 4 této smlouvy ve lhůtě do 30 dnů ode dne doručení jejího písemného vyúčtování (daňového dokladu/faktury). Faktura bude doručena elektronicky na email: 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shd w:val="clear" w:color="auto" w:fill="000000"/>
          <w:lang w:val="en-US" w:eastAsia="en-US" w:bidi="en-US"/>
        </w:rPr>
        <w:t>.</w:t>
      </w:r>
      <w:r>
        <w:rPr>
          <w:rStyle w:val="CharStyle5"/>
          <w:shd w:val="clear" w:color="auto" w:fill="000000"/>
        </w:rPr>
        <w:t>​...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​.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.............................</w:t>
      </w:r>
      <w:r>
        <w:rPr>
          <w:rStyle w:val="CharStyle5"/>
          <w:color w:val="83A0CF"/>
          <w:lang w:val="en-US" w:eastAsia="en-US" w:bidi="en-US"/>
        </w:rPr>
        <w:t xml:space="preserve">. </w:t>
      </w:r>
      <w:r>
        <w:rPr>
          <w:rStyle w:val="CharStyle5"/>
        </w:rPr>
        <w:t xml:space="preserve">Na faktuře musí být mimo jiné vždy uvedeno toto číslo veřejné zakázky, ke které se faktura vztahuje: </w:t>
      </w:r>
      <w:r>
        <w:rPr>
          <w:rStyle w:val="CharStyle5"/>
          <w:b/>
          <w:bCs/>
        </w:rPr>
        <w:t xml:space="preserve">P25V00000085. </w:t>
      </w:r>
      <w:r>
        <w:rPr>
          <w:rStyle w:val="CharStyle5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 xml:space="preserve">S převodem zboží podle čl. 1 této smlouvy je spojena záruka za jeho jakost v trvání nejméně </w:t>
      </w:r>
      <w:r>
        <w:rPr>
          <w:rStyle w:val="CharStyle5"/>
          <w:b/>
          <w:bCs/>
        </w:rPr>
        <w:t xml:space="preserve">24 měsíců. </w:t>
      </w:r>
      <w:r>
        <w:rPr>
          <w:rStyle w:val="CharStyle5"/>
        </w:rPr>
        <w:t>V rámci této záruky se prodávající zavazuje odstraňovat vady na zboží podle čl. 1 této smlouvy ve lhůtě do 10-ti pracovních dní od doručení příslušné reklamace kupujícího. Za písemnou reklamaci se přitom pro účely této smlouvy považuje reklamace učiněná elektronicky do datové schránky nebo na e-mailovou adresu prodávajícího.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Nepřikročí-li prodávající k odstranění vady ve lhůtě podle čl. 8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Pro případ prodlení prodávající se splněním jeho závazku k dodání zboží ve lhůtě podle čl. 4 této smlouvy a pro případ prodlení prodávajícího s odstraněním reklamované vady ve lhůtě podle čl. 8 této smlouvy se prodávající zavazuje zaplatit kupujícímu smluvní pokutu ve výši 0,1 % z kupní ceny podle čl. 6 této smlouvy za každý započatý den tohoto prodlení.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Pro případ prodlení se splněním jeho závazku k dodání zboží ve lhůtě podle čl. 4 této smlouvy o více, než 2 týdny je kupující oprávněn odstoupit od této smlouvy s účinky ex tunc, přičemž nárok na zaplacení smluvní pokuty dle čl. 11. nezaniká. Stejné právo má kupující, vyskytne-li se v době záruky za jakost podle čl. 8 této smlouvy na zboží podle čl. 1 této smlouvy neodstranitelná vada nebo tři a více vad, a i to postupně.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Pro případ prodlení kupujícího se zaplacením kupní ceny nebo její části ve lhůtě podle čl. 7 této smlouvy o víc, než 2 týdny, je prodávající oprávněn od této smlouvy odstoupit s účinky ex tunc.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88" w:lineRule="auto"/>
        <w:ind w:left="400" w:right="0" w:hanging="400"/>
        <w:jc w:val="both"/>
      </w:pPr>
      <w:r>
        <w:rPr>
          <w:rStyle w:val="CharStyle5"/>
        </w:rPr>
        <w:t>Není-li touto smlouvou ujednáno jinak, řídí se vzájemný právní vztah mezi kupujícím a prodávajícím při realizaci této smlouvy ust. § 2079 a násl. občanského zákoníku. Obě strany přitom vylučují použití ust. §1917 až 1918, §1920 až 1922, §1924, § 2099 až 2101, § 2103 až 2105 občanského</w:t>
        <w:br w:type="page"/>
      </w:r>
      <w:r>
        <w:rPr>
          <w:rStyle w:val="CharStyle5"/>
        </w:rPr>
        <w:t>zákoníku a také obchodních zvyklostí, které jsou svým smyslem nebo účinky totožné nebo obdobné s uvedenými ustanoveními, na jejich právní vztah podle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5"/>
        </w:rPr>
        <w:t>Předpokladem uzavření této smlouvy je její písemná forma a dohoda o jejích podstatných náležitostech, čímž se rozumí celý obsah této smlouvy, jak je uveden v čl. 1 až 21 této smlouvy. Kupující přitom předem vylučuje přijetí tohoto návrhu s dodatkem nebo odchylkou ve smyslu ustanovení § 1740 odst. 3 občanského zákoníku.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86" w:lineRule="auto"/>
        <w:ind w:left="400" w:right="0" w:hanging="400"/>
        <w:jc w:val="both"/>
      </w:pPr>
      <w:r>
        <w:rPr>
          <w:rStyle w:val="CharStyle5"/>
        </w:rPr>
        <w:t>Jakékoliv pohledávky vzniklé z této smlouvy smí být postoupeny třetí straně jen s písemným souhlasem kupujícího.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5"/>
        </w:rPr>
        <w:t>Tuto smlouvu lze změnit nebo zrušit pouze písemnými číslovanými dodatky podepsanými oběma stranami.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/>
        <w:ind w:left="400" w:right="0" w:hanging="400"/>
        <w:jc w:val="both"/>
      </w:pPr>
      <w:r>
        <w:rPr>
          <w:rStyle w:val="CharStyle5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5"/>
        </w:rPr>
        <w:t>Tato smlouva nabývá platnosti okamžikem jejího podpisu oběma smluvními stranami a účinnosti dnem jejího uveřejnění v registru smluv dle čl. 18.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20" w:line="276" w:lineRule="auto"/>
        <w:ind w:left="400" w:right="0" w:hanging="400"/>
        <w:jc w:val="both"/>
      </w:pPr>
      <w:r>
        <w:rPr>
          <w:rStyle w:val="CharStyle5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880"/>
        <w:ind w:left="400" w:right="0" w:hanging="400"/>
        <w:jc w:val="both"/>
      </w:pPr>
      <w:r>
        <w:rPr>
          <w:rStyle w:val="CharStyle5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32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12700</wp:posOffset>
                </wp:positionV>
                <wp:extent cx="1112520" cy="14922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9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9.450000000000003pt;margin-top:1.pt;width:87.600000000000009pt;height:11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5240" distB="807720" distL="132715" distR="961390" simplePos="0" relativeHeight="125829382" behindDoc="0" locked="0" layoutInCell="1" allowOverlap="1">
                <wp:simplePos x="0" y="0"/>
                <wp:positionH relativeFrom="page">
                  <wp:posOffset>4313555</wp:posOffset>
                </wp:positionH>
                <wp:positionV relativeFrom="paragraph">
                  <wp:posOffset>421640</wp:posOffset>
                </wp:positionV>
                <wp:extent cx="887095" cy="43878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7095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Ing.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Ludvík Tót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9.65000000000003pt;margin-top:33.200000000000003pt;width:69.850000000000009pt;height:34.550000000000004pt;z-index:-125829371;mso-wrap-distance-left:10.450000000000001pt;mso-wrap-distance-top:1.2pt;mso-wrap-distance-right:75.700000000000003pt;mso-wrap-distance-bottom:63.6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Ing.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Ludvík Tót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774065" distL="1007110" distR="114300" simplePos="0" relativeHeight="125829384" behindDoc="0" locked="0" layoutInCell="1" allowOverlap="1">
                <wp:simplePos x="0" y="0"/>
                <wp:positionH relativeFrom="page">
                  <wp:posOffset>5187950</wp:posOffset>
                </wp:positionH>
                <wp:positionV relativeFrom="paragraph">
                  <wp:posOffset>406400</wp:posOffset>
                </wp:positionV>
                <wp:extent cx="859790" cy="48768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Digitálně podepsal Ing. Ludvík Tót Datum: 2025.01.22 10:11:44+01'00'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8.5pt;margin-top:32.pt;width:67.700000000000003pt;height:38.399999999999999pt;z-index:-125829369;mso-wrap-distance-left:79.299999999999997pt;mso-wrap-distance-right:9.pt;mso-wrap-distance-bottom:60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Digitálně podepsal Ing. Ludvík Tót Datum: 2025.01.22 10:11:44+01'00'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58825" distB="0" distL="114300" distR="1007110" simplePos="0" relativeHeight="125829386" behindDoc="0" locked="0" layoutInCell="1" allowOverlap="1">
                <wp:simplePos x="0" y="0"/>
                <wp:positionH relativeFrom="page">
                  <wp:posOffset>4295140</wp:posOffset>
                </wp:positionH>
                <wp:positionV relativeFrom="paragraph">
                  <wp:posOffset>1165225</wp:posOffset>
                </wp:positionV>
                <wp:extent cx="859790" cy="50292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Ing. Ludvík Tót jednatel 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8.19999999999999pt;margin-top:91.75pt;width:67.700000000000003pt;height:39.600000000000001pt;z-index:-125829367;mso-wrap-distance-left:9.pt;mso-wrap-distance-top:59.75pt;mso-wrap-distance-right:79.29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Ing. Ludvík Tót jednatel </w:t>
                      </w:r>
                      <w:r>
                        <w:rPr>
                          <w:rStyle w:val="CharStyle5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V Praze dne /viz el. podpis/</w:t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39"/>
        </w:rPr>
        <w:t>MUDr. Hana Albrechtová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5"/>
        </w:rPr>
        <w:t>MUDr. Hana Albrechtová ředitelka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80" w:line="286" w:lineRule="auto"/>
        <w:ind w:left="0" w:right="0" w:firstLine="0"/>
        <w:jc w:val="left"/>
      </w:pPr>
      <w:r>
        <w:rPr>
          <w:rStyle w:val="CharStyle5"/>
          <w:b/>
          <w:bCs/>
        </w:rPr>
        <w:t>Kupující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340" w:right="1527" w:bottom="1620" w:left="150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  <w:b/>
          <w:bCs/>
        </w:rPr>
        <w:t>Příloha č. 1 Specifikace, ceník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5"/>
          <w:b/>
          <w:bCs/>
          <w:sz w:val="18"/>
          <w:szCs w:val="18"/>
        </w:rPr>
        <w:t>Příloha č. 1 Specifikace, ceník</w:t>
      </w:r>
    </w:p>
    <w:tbl>
      <w:tblPr>
        <w:tblOverlap w:val="never"/>
        <w:jc w:val="center"/>
        <w:tblLayout w:type="fixed"/>
      </w:tblPr>
      <w:tblGrid>
        <w:gridCol w:w="600"/>
        <w:gridCol w:w="3797"/>
        <w:gridCol w:w="1925"/>
        <w:gridCol w:w="1099"/>
        <w:gridCol w:w="2203"/>
        <w:gridCol w:w="2218"/>
      </w:tblGrid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  <w:vertAlign w:val="superscript"/>
              </w:rPr>
              <w:t>!</w:t>
            </w:r>
            <w:r>
              <w:rPr>
                <w:rStyle w:val="CharStyle17"/>
                <w:b/>
                <w:bCs/>
                <w:sz w:val="18"/>
                <w:szCs w:val="18"/>
              </w:rPr>
              <w:t xml:space="preserve"> P;čl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538" w:val="left"/>
              </w:tabs>
              <w:bidi w:val="0"/>
              <w:spacing w:before="0" w:after="0" w:line="240" w:lineRule="auto"/>
              <w:ind w:left="120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Naze^ položky,</w:t>
              <w:tab/>
              <w:t>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’ ” Cena zá ks bez i , &lt; . .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i Počet ks 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Cena celkem bez DPH " * &lt;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GenaiCpIkem vč; DPH^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Little Anně QCPR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123-01050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7 600,00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38 000,00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45 980,00 Kč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Kompletní dýchací cesty Little Anně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QCPR (balení po 1 ks) 020300-1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120,00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600,00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726,00 Kč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Little baby QCPR 133-01050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6 500,00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19 500,00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23 595,00 Kč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Choking Charlie 102-00001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19 500,00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19 500,00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23 595,00 Kč</w:t>
            </w:r>
          </w:p>
        </w:tc>
      </w:tr>
      <w:tr>
        <w:trPr>
          <w:trHeight w:val="562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77 600,00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rStyle w:val="CharStyle17"/>
                <w:b/>
                <w:bCs/>
                <w:sz w:val="18"/>
                <w:szCs w:val="18"/>
              </w:rPr>
              <w:t>93 896,00 Kč</w:t>
            </w:r>
          </w:p>
        </w:tc>
      </w:tr>
    </w:tbl>
    <w:p>
      <w:pPr>
        <w:widowControl w:val="0"/>
        <w:spacing w:after="51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  <w:i/>
          <w:iCs/>
        </w:rPr>
        <w:t>Veřejná zakázka 02_2025: Výukové fíguríny</w:t>
      </w:r>
    </w:p>
    <w:sectPr>
      <w:footerReference w:type="default" r:id="rId7"/>
      <w:footerReference w:type="even" r:id="rId8"/>
      <w:footnotePr>
        <w:pos w:val="pageBottom"/>
        <w:numFmt w:val="decimal"/>
        <w:numRestart w:val="continuous"/>
      </w:footnotePr>
      <w:pgSz w:w="16840" w:h="11900" w:orient="landscape"/>
      <w:pgMar w:top="1469" w:right="3445" w:bottom="694" w:left="1543" w:header="1041" w:footer="266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981710</wp:posOffset>
              </wp:positionH>
              <wp:positionV relativeFrom="page">
                <wp:posOffset>9946005</wp:posOffset>
              </wp:positionV>
              <wp:extent cx="2160905" cy="10668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6090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1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02_2025: Výukové figuríny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7.299999999999997pt;margin-top:783.14999999999998pt;width:170.1500000000000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02_2025: Výukové figuríny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981710</wp:posOffset>
              </wp:positionH>
              <wp:positionV relativeFrom="page">
                <wp:posOffset>9979660</wp:posOffset>
              </wp:positionV>
              <wp:extent cx="2157730" cy="11303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5773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1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02_2025: Výukové figuríny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7.299999999999997pt;margin-top:785.80000000000007pt;width:169.90000000000001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02_2025: Výukové figuríny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Záhlaví nebo zápatí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9">
    <w:name w:val="Nadpis #1_"/>
    <w:basedOn w:val="DefaultParagraphFont"/>
    <w:link w:val="Style3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0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Záhlaví nebo zápatí (2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auto"/>
      <w:spacing w:after="20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8">
    <w:name w:val="Nadpis #1"/>
    <w:basedOn w:val="Normal"/>
    <w:link w:val="CharStyle39"/>
    <w:pPr>
      <w:widowControl w:val="0"/>
      <w:shd w:val="clear" w:color="auto" w:fill="auto"/>
      <w:spacing w:after="220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