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0DBDAF79" w:rsidR="006243DD" w:rsidRPr="009151D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="002B1033">
        <w:rPr>
          <w:rFonts w:ascii="Times New Roman" w:hAnsi="Times New Roman" w:cs="Times New Roman"/>
          <w:sz w:val="23"/>
          <w:szCs w:val="23"/>
        </w:rPr>
        <w:t>: Oblastní nemocnice Českého červeného kříže Teplice (DOP Alice)</w:t>
      </w:r>
    </w:p>
    <w:p w14:paraId="3ABA4BA0" w14:textId="3270272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="002B1033">
        <w:rPr>
          <w:rFonts w:ascii="Times New Roman" w:hAnsi="Times New Roman" w:cs="Times New Roman"/>
          <w:sz w:val="23"/>
          <w:szCs w:val="23"/>
        </w:rPr>
        <w:tab/>
        <w:t>00426130</w:t>
      </w:r>
    </w:p>
    <w:p w14:paraId="17F40E8C" w14:textId="1CC89ADE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A6CE6">
        <w:rPr>
          <w:rFonts w:ascii="Times New Roman" w:hAnsi="Times New Roman" w:cs="Times New Roman"/>
          <w:sz w:val="23"/>
          <w:szCs w:val="23"/>
        </w:rPr>
        <w:t>-</w:t>
      </w:r>
    </w:p>
    <w:p w14:paraId="08DEC709" w14:textId="0527371A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="002B1033">
        <w:rPr>
          <w:rFonts w:ascii="Times New Roman" w:hAnsi="Times New Roman" w:cs="Times New Roman"/>
          <w:sz w:val="23"/>
          <w:szCs w:val="23"/>
        </w:rPr>
        <w:t xml:space="preserve"> Jiřího Wolkera 1248/2, Teplice, 41501</w:t>
      </w:r>
    </w:p>
    <w:p w14:paraId="7DD7D29A" w14:textId="0E1E2534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</w:t>
      </w:r>
      <w:r w:rsidR="002B1033">
        <w:rPr>
          <w:rFonts w:ascii="Times New Roman" w:hAnsi="Times New Roman" w:cs="Times New Roman"/>
          <w:sz w:val="23"/>
          <w:szCs w:val="23"/>
        </w:rPr>
        <w:t xml:space="preserve">: Iva </w:t>
      </w:r>
      <w:proofErr w:type="spellStart"/>
      <w:r w:rsidR="002B1033">
        <w:rPr>
          <w:rFonts w:ascii="Times New Roman" w:hAnsi="Times New Roman" w:cs="Times New Roman"/>
          <w:sz w:val="23"/>
          <w:szCs w:val="23"/>
        </w:rPr>
        <w:t>Wajshajtlová</w:t>
      </w:r>
      <w:proofErr w:type="spellEnd"/>
      <w:r w:rsidR="000A6CE6">
        <w:rPr>
          <w:rFonts w:ascii="Times New Roman" w:hAnsi="Times New Roman" w:cs="Times New Roman"/>
          <w:sz w:val="23"/>
          <w:szCs w:val="23"/>
        </w:rPr>
        <w:t>, ředitelk</w:t>
      </w:r>
      <w:r w:rsidR="002B1033">
        <w:rPr>
          <w:rFonts w:ascii="Times New Roman" w:hAnsi="Times New Roman" w:cs="Times New Roman"/>
          <w:sz w:val="23"/>
          <w:szCs w:val="23"/>
        </w:rPr>
        <w:t>a</w:t>
      </w:r>
    </w:p>
    <w:p w14:paraId="6FC11675" w14:textId="5AF8154E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2B1033">
        <w:rPr>
          <w:rFonts w:ascii="Times New Roman" w:hAnsi="Times New Roman" w:cs="Times New Roman"/>
          <w:sz w:val="23"/>
          <w:szCs w:val="23"/>
        </w:rPr>
        <w:t>vvdmbpu</w:t>
      </w:r>
      <w:proofErr w:type="spellEnd"/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48D7BB" w14:textId="7F87DB5D" w:rsidR="00766429" w:rsidRPr="00076E68" w:rsidRDefault="006243DD" w:rsidP="00B03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přístupu ke zvyšování kvality 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210A917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216E2DA8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F54755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F54755">
        <w:rPr>
          <w:rFonts w:ascii="Times New Roman" w:hAnsi="Times New Roman" w:cs="Times New Roman"/>
          <w:sz w:val="23"/>
          <w:szCs w:val="23"/>
        </w:rPr>
        <w:t>…………………..….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>:</w:t>
      </w:r>
      <w:r w:rsidR="00F54755">
        <w:rPr>
          <w:rFonts w:ascii="Times New Roman" w:hAnsi="Times New Roman" w:cs="Times New Roman"/>
          <w:sz w:val="23"/>
          <w:szCs w:val="23"/>
        </w:rPr>
        <w:t>………..……...,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 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F54755">
        <w:rPr>
          <w:rFonts w:ascii="Times New Roman" w:hAnsi="Times New Roman" w:cs="Times New Roman"/>
          <w:sz w:val="23"/>
          <w:szCs w:val="23"/>
        </w:rPr>
        <w:t>……………………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2929BA2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0B4693">
        <w:rPr>
          <w:rFonts w:ascii="Times New Roman" w:hAnsi="Times New Roman" w:cs="Times New Roman"/>
          <w:sz w:val="23"/>
          <w:szCs w:val="23"/>
        </w:rPr>
        <w:t> </w:t>
      </w:r>
      <w:r w:rsidR="00970BEE">
        <w:rPr>
          <w:rFonts w:ascii="Times New Roman" w:hAnsi="Times New Roman" w:cs="Times New Roman"/>
          <w:sz w:val="23"/>
          <w:szCs w:val="23"/>
        </w:rPr>
        <w:t>……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64732509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54755">
        <w:rPr>
          <w:rFonts w:ascii="Times New Roman" w:hAnsi="Times New Roman" w:cs="Times New Roman"/>
          <w:sz w:val="23"/>
          <w:szCs w:val="23"/>
        </w:rPr>
        <w:t>…….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72309DC1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ab/>
      </w:r>
      <w:r w:rsidR="00C373B8">
        <w:rPr>
          <w:rFonts w:ascii="Times New Roman" w:hAnsi="Times New Roman" w:cs="Times New Roman"/>
          <w:sz w:val="23"/>
          <w:szCs w:val="23"/>
        </w:rPr>
        <w:t xml:space="preserve"> </w:t>
      </w:r>
      <w:r w:rsidR="002B1033">
        <w:rPr>
          <w:rFonts w:ascii="Times New Roman" w:hAnsi="Times New Roman" w:cs="Times New Roman"/>
          <w:sz w:val="23"/>
          <w:szCs w:val="23"/>
        </w:rPr>
        <w:t xml:space="preserve"> </w:t>
      </w:r>
      <w:r w:rsidR="003E539F">
        <w:rPr>
          <w:rFonts w:ascii="Times New Roman" w:hAnsi="Times New Roman" w:cs="Times New Roman"/>
          <w:sz w:val="23"/>
          <w:szCs w:val="23"/>
        </w:rPr>
        <w:t>za</w:t>
      </w:r>
      <w:proofErr w:type="gramEnd"/>
      <w:r w:rsidR="009151DC">
        <w:rPr>
          <w:rFonts w:ascii="Times New Roman" w:hAnsi="Times New Roman" w:cs="Times New Roman"/>
          <w:sz w:val="23"/>
          <w:szCs w:val="23"/>
        </w:rPr>
        <w:t xml:space="preserve"> </w:t>
      </w:r>
      <w:r w:rsidR="002B1033">
        <w:rPr>
          <w:rFonts w:ascii="Times New Roman" w:hAnsi="Times New Roman" w:cs="Times New Roman"/>
          <w:sz w:val="23"/>
          <w:szCs w:val="23"/>
        </w:rPr>
        <w:t>Oblastní spolek Českého</w:t>
      </w:r>
    </w:p>
    <w:p w14:paraId="51E5F09D" w14:textId="4E20E3DB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A6CE6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2B1033">
        <w:rPr>
          <w:rFonts w:ascii="Times New Roman" w:hAnsi="Times New Roman" w:cs="Times New Roman"/>
          <w:sz w:val="23"/>
          <w:szCs w:val="23"/>
        </w:rPr>
        <w:t xml:space="preserve"> červeného kříže Teplice</w:t>
      </w:r>
    </w:p>
    <w:p w14:paraId="0684CDE8" w14:textId="413055B0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2B1033">
        <w:rPr>
          <w:rFonts w:ascii="Times New Roman" w:hAnsi="Times New Roman" w:cs="Times New Roman"/>
          <w:sz w:val="23"/>
          <w:szCs w:val="23"/>
        </w:rPr>
        <w:t xml:space="preserve">             Iva </w:t>
      </w:r>
      <w:proofErr w:type="spellStart"/>
      <w:r w:rsidR="002B1033">
        <w:rPr>
          <w:rFonts w:ascii="Times New Roman" w:hAnsi="Times New Roman" w:cs="Times New Roman"/>
          <w:sz w:val="23"/>
          <w:szCs w:val="23"/>
        </w:rPr>
        <w:t>Wajshajtlová</w:t>
      </w:r>
      <w:proofErr w:type="spellEnd"/>
      <w:r w:rsidR="000A6CE6">
        <w:rPr>
          <w:rFonts w:ascii="Times New Roman" w:hAnsi="Times New Roman" w:cs="Times New Roman"/>
          <w:sz w:val="23"/>
          <w:szCs w:val="23"/>
        </w:rPr>
        <w:t xml:space="preserve">, ředitelka </w:t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A6CE6"/>
    <w:rsid w:val="000B38F4"/>
    <w:rsid w:val="000B4693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F2A4B"/>
    <w:rsid w:val="001F6D9E"/>
    <w:rsid w:val="00210077"/>
    <w:rsid w:val="002513A0"/>
    <w:rsid w:val="002939C0"/>
    <w:rsid w:val="002B1033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754D1"/>
    <w:rsid w:val="00680576"/>
    <w:rsid w:val="006A1A19"/>
    <w:rsid w:val="006E44EE"/>
    <w:rsid w:val="00716E2E"/>
    <w:rsid w:val="00733918"/>
    <w:rsid w:val="00750E2D"/>
    <w:rsid w:val="00766429"/>
    <w:rsid w:val="00775329"/>
    <w:rsid w:val="00786208"/>
    <w:rsid w:val="007B2BD6"/>
    <w:rsid w:val="007C2B39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900FCA"/>
    <w:rsid w:val="009151DC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C0C1E"/>
    <w:rsid w:val="00AC7C73"/>
    <w:rsid w:val="00B00C59"/>
    <w:rsid w:val="00B03D51"/>
    <w:rsid w:val="00B319C4"/>
    <w:rsid w:val="00B35D3C"/>
    <w:rsid w:val="00B567DA"/>
    <w:rsid w:val="00BD1D62"/>
    <w:rsid w:val="00BE6E15"/>
    <w:rsid w:val="00C218F8"/>
    <w:rsid w:val="00C373B8"/>
    <w:rsid w:val="00C43E53"/>
    <w:rsid w:val="00C6712A"/>
    <w:rsid w:val="00CA222F"/>
    <w:rsid w:val="00CB7D8C"/>
    <w:rsid w:val="00CD0A83"/>
    <w:rsid w:val="00CF5AA7"/>
    <w:rsid w:val="00D02645"/>
    <w:rsid w:val="00D14C3E"/>
    <w:rsid w:val="00D23B2A"/>
    <w:rsid w:val="00D252B9"/>
    <w:rsid w:val="00D61D49"/>
    <w:rsid w:val="00D71FD4"/>
    <w:rsid w:val="00D850B1"/>
    <w:rsid w:val="00DC0325"/>
    <w:rsid w:val="00DC7664"/>
    <w:rsid w:val="00DD2788"/>
    <w:rsid w:val="00DD65B1"/>
    <w:rsid w:val="00DF622A"/>
    <w:rsid w:val="00E23959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460B3"/>
    <w:rsid w:val="00F54755"/>
    <w:rsid w:val="00F548B3"/>
    <w:rsid w:val="00F82F44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2364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2025-01-22T19:25:00Z</dcterms:created>
  <dcterms:modified xsi:type="dcterms:W3CDTF">2025-01-22T19:25:00Z</dcterms:modified>
</cp:coreProperties>
</file>