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rFonts w:ascii="Times New Roman"/>
          <w:sz w:val="28"/>
        </w:rPr>
      </w:pPr>
    </w:p>
    <w:p>
      <w:pPr>
        <w:spacing w:before="100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5211200242</w:t>
      </w:r>
    </w:p>
    <w:p>
      <w:pPr>
        <w:spacing w:line="425" w:lineRule="exact" w:before="1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3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77" w:lineRule="auto" w:before="1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4"/>
        <w:ind w:right="0"/>
        <w:jc w:val="left"/>
      </w:pPr>
      <w:r>
        <w:rPr/>
        <w:t>město</w:t>
      </w:r>
      <w:r>
        <w:rPr>
          <w:spacing w:val="-7"/>
        </w:rPr>
        <w:t> </w:t>
      </w:r>
      <w:r>
        <w:rPr>
          <w:spacing w:val="-2"/>
        </w:rPr>
        <w:t>Šternberk</w:t>
      </w:r>
    </w:p>
    <w:p>
      <w:pPr>
        <w:pStyle w:val="BodyText"/>
        <w:tabs>
          <w:tab w:pos="3262" w:val="left" w:leader="none"/>
        </w:tabs>
        <w:spacing w:before="1"/>
        <w:ind w:left="382" w:right="1055"/>
      </w:pPr>
      <w:r>
        <w:rPr/>
        <w:t>kontaktní adresa:</w:t>
        <w:tab/>
        <w:t>Městský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Šternberk,</w:t>
      </w:r>
      <w:r>
        <w:rPr>
          <w:spacing w:val="-4"/>
        </w:rPr>
        <w:t> </w:t>
      </w:r>
      <w:r>
        <w:rPr/>
        <w:t>Horní</w:t>
      </w:r>
      <w:r>
        <w:rPr>
          <w:spacing w:val="-5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78/16,</w:t>
      </w:r>
      <w:r>
        <w:rPr>
          <w:spacing w:val="-6"/>
        </w:rPr>
        <w:t> </w:t>
      </w:r>
      <w:r>
        <w:rPr/>
        <w:t>785</w:t>
      </w:r>
      <w:r>
        <w:rPr>
          <w:spacing w:val="-3"/>
        </w:rPr>
        <w:t> </w:t>
      </w:r>
      <w:r>
        <w:rPr/>
        <w:t>01</w:t>
      </w:r>
      <w:r>
        <w:rPr>
          <w:spacing w:val="-5"/>
        </w:rPr>
        <w:t> </w:t>
      </w:r>
      <w:r>
        <w:rPr/>
        <w:t>Šternberk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00299529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4"/>
        </w:rPr>
        <w:t> </w:t>
      </w:r>
      <w:r>
        <w:rPr/>
        <w:t>Stanislavem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4"/>
        </w:rPr>
        <w:t> </w:t>
      </w:r>
      <w:r>
        <w:rPr/>
        <w:t>s</w:t>
      </w:r>
      <w:r>
        <w:rPr>
          <w:spacing w:val="-4"/>
        </w:rPr>
        <w:t> </w:t>
      </w:r>
      <w:r>
        <w:rPr/>
        <w:t>á</w:t>
      </w:r>
      <w:r>
        <w:rPr>
          <w:spacing w:val="-3"/>
        </w:rPr>
        <w:t> </w:t>
      </w:r>
      <w:r>
        <w:rPr/>
        <w:t>g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5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3014811/0710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ind w:left="1303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5211200242 o poskytnutí finančních prostředků ze Státního fondu životního prostředí ČR ze dne 17.</w:t>
      </w:r>
      <w:r>
        <w:rPr>
          <w:spacing w:val="-1"/>
        </w:rPr>
        <w:t> </w:t>
      </w:r>
      <w:r>
        <w:rPr/>
        <w:t>5.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before="2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18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260" w:bottom="1580" w:left="1320" w:right="1020"/>
          <w:pgNumType w:start="1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0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12/2021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383" w:right="0"/>
        <w:jc w:val="both"/>
      </w:pPr>
      <w:r>
        <w:rPr/>
        <w:t>„Zateplení</w:t>
      </w:r>
      <w:r>
        <w:rPr>
          <w:spacing w:val="-8"/>
        </w:rPr>
        <w:t> </w:t>
      </w:r>
      <w:r>
        <w:rPr/>
        <w:t>objektu</w:t>
      </w:r>
      <w:r>
        <w:rPr>
          <w:spacing w:val="-6"/>
        </w:rPr>
        <w:t> </w:t>
      </w:r>
      <w:r>
        <w:rPr/>
        <w:t>tělocvičny</w:t>
      </w:r>
      <w:r>
        <w:rPr>
          <w:spacing w:val="-8"/>
        </w:rPr>
        <w:t> </w:t>
      </w:r>
      <w:r>
        <w:rPr/>
        <w:t>ZŠ</w:t>
      </w:r>
      <w:r>
        <w:rPr>
          <w:spacing w:val="-7"/>
        </w:rPr>
        <w:t> </w:t>
      </w:r>
      <w:r>
        <w:rPr/>
        <w:t>Dr.</w:t>
      </w:r>
      <w:r>
        <w:rPr>
          <w:spacing w:val="-8"/>
        </w:rPr>
        <w:t> </w:t>
      </w:r>
      <w:r>
        <w:rPr/>
        <w:t>Hrubého,</w:t>
      </w:r>
      <w:r>
        <w:rPr>
          <w:spacing w:val="-7"/>
        </w:rPr>
        <w:t> </w:t>
      </w:r>
      <w:r>
        <w:rPr>
          <w:spacing w:val="-2"/>
        </w:rPr>
        <w:t>Šternberk“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2"/>
        </w:rPr>
        <w:t> kombinovaná.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2"/>
        <w:ind w:left="0"/>
        <w:rPr>
          <w:sz w:val="29"/>
        </w:rPr>
      </w:pPr>
    </w:p>
    <w:p>
      <w:pPr>
        <w:pStyle w:val="Heading1"/>
        <w:spacing w:before="1"/>
        <w:ind w:left="1306" w:right="1038"/>
      </w:pPr>
      <w:r>
        <w:rPr>
          <w:spacing w:val="-5"/>
        </w:rPr>
        <w:t>II.</w:t>
      </w:r>
    </w:p>
    <w:p>
      <w:pPr>
        <w:pStyle w:val="Heading2"/>
        <w:ind w:left="130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2" w:right="0" w:hanging="36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formou</w:t>
      </w:r>
      <w:r>
        <w:rPr>
          <w:spacing w:val="-6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729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462,80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  <w:ind w:left="741"/>
        <w:jc w:val="both"/>
      </w:pPr>
      <w:r>
        <w:rPr/>
        <w:t>dva</w:t>
      </w:r>
      <w:r>
        <w:rPr>
          <w:spacing w:val="-6"/>
        </w:rPr>
        <w:t> </w:t>
      </w:r>
      <w:r>
        <w:rPr/>
        <w:t>miliony</w:t>
      </w:r>
      <w:r>
        <w:rPr>
          <w:spacing w:val="-6"/>
        </w:rPr>
        <w:t> </w:t>
      </w:r>
      <w:r>
        <w:rPr/>
        <w:t>sedm</w:t>
      </w:r>
      <w:r>
        <w:rPr>
          <w:spacing w:val="-4"/>
        </w:rPr>
        <w:t> </w:t>
      </w:r>
      <w:r>
        <w:rPr/>
        <w:t>set</w:t>
      </w:r>
      <w:r>
        <w:rPr>
          <w:spacing w:val="-5"/>
        </w:rPr>
        <w:t> </w:t>
      </w:r>
      <w:r>
        <w:rPr/>
        <w:t>dvacet</w:t>
      </w:r>
      <w:r>
        <w:rPr>
          <w:spacing w:val="-6"/>
        </w:rPr>
        <w:t> </w:t>
      </w:r>
      <w:r>
        <w:rPr/>
        <w:t>devět</w:t>
      </w:r>
      <w:r>
        <w:rPr>
          <w:spacing w:val="-3"/>
        </w:rPr>
        <w:t> </w:t>
      </w:r>
      <w:r>
        <w:rPr/>
        <w:t>tisíc</w:t>
      </w:r>
      <w:r>
        <w:rPr>
          <w:spacing w:val="-5"/>
        </w:rPr>
        <w:t> </w:t>
      </w:r>
      <w:r>
        <w:rPr/>
        <w:t>čtyři</w:t>
      </w:r>
      <w:r>
        <w:rPr>
          <w:spacing w:val="-6"/>
        </w:rPr>
        <w:t> </w:t>
      </w:r>
      <w:r>
        <w:rPr/>
        <w:t>sta</w:t>
      </w:r>
      <w:r>
        <w:rPr>
          <w:spacing w:val="-6"/>
        </w:rPr>
        <w:t> </w:t>
      </w:r>
      <w:r>
        <w:rPr/>
        <w:t>šedesát</w:t>
      </w:r>
      <w:r>
        <w:rPr>
          <w:spacing w:val="-1"/>
        </w:rPr>
        <w:t> </w:t>
      </w:r>
      <w:r>
        <w:rPr/>
        <w:t>dva</w:t>
      </w:r>
      <w:r>
        <w:rPr>
          <w:spacing w:val="-4"/>
        </w:rPr>
        <w:t> </w:t>
      </w:r>
      <w:r>
        <w:rPr/>
        <w:t>korun</w:t>
      </w:r>
      <w:r>
        <w:rPr>
          <w:spacing w:val="-5"/>
        </w:rPr>
        <w:t> </w:t>
      </w:r>
      <w:r>
        <w:rPr/>
        <w:t>českých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osmdesát</w:t>
      </w:r>
      <w:r>
        <w:rPr>
          <w:spacing w:val="-5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6</w:t>
      </w:r>
      <w:r>
        <w:rPr>
          <w:spacing w:val="-1"/>
          <w:sz w:val="20"/>
        </w:rPr>
        <w:t> </w:t>
      </w:r>
      <w:r>
        <w:rPr>
          <w:sz w:val="20"/>
        </w:rPr>
        <w:t>823</w:t>
      </w:r>
      <w:r>
        <w:rPr>
          <w:spacing w:val="-1"/>
          <w:sz w:val="20"/>
        </w:rPr>
        <w:t> </w:t>
      </w:r>
      <w:r>
        <w:rPr>
          <w:sz w:val="20"/>
        </w:rPr>
        <w:t>657,00 Kč (z toho 6</w:t>
      </w:r>
      <w:r>
        <w:rPr>
          <w:spacing w:val="-1"/>
          <w:sz w:val="20"/>
        </w:rPr>
        <w:t> </w:t>
      </w:r>
      <w:r>
        <w:rPr>
          <w:sz w:val="20"/>
        </w:rPr>
        <w:t>724</w:t>
      </w:r>
      <w:r>
        <w:rPr>
          <w:spacing w:val="-1"/>
          <w:sz w:val="20"/>
        </w:rPr>
        <w:t> </w:t>
      </w:r>
      <w:r>
        <w:rPr>
          <w:sz w:val="20"/>
        </w:rPr>
        <w:t>157,00 Kč odpovídá investičním výdajům a 99</w:t>
      </w:r>
      <w:r>
        <w:rPr>
          <w:spacing w:val="-1"/>
          <w:sz w:val="20"/>
        </w:rPr>
        <w:t> </w:t>
      </w:r>
      <w:r>
        <w:rPr>
          <w:sz w:val="20"/>
        </w:rPr>
        <w:t>500,00</w:t>
      </w:r>
      <w:r>
        <w:rPr>
          <w:spacing w:val="-1"/>
          <w:sz w:val="20"/>
        </w:rPr>
        <w:t> </w:t>
      </w:r>
      <w:r>
        <w:rPr>
          <w:sz w:val="20"/>
        </w:rPr>
        <w:t>Kč odpovídá neinvestičním výdajům).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40,00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6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limitována</w:t>
      </w:r>
      <w:r>
        <w:rPr>
          <w:spacing w:val="17"/>
          <w:sz w:val="20"/>
        </w:rPr>
        <w:t> </w:t>
      </w:r>
      <w:r>
        <w:rPr>
          <w:sz w:val="20"/>
        </w:rPr>
        <w:t>částkou</w:t>
      </w:r>
      <w:r>
        <w:rPr>
          <w:spacing w:val="18"/>
          <w:sz w:val="20"/>
        </w:rPr>
        <w:t> </w:t>
      </w:r>
      <w:r>
        <w:rPr>
          <w:sz w:val="20"/>
        </w:rPr>
        <w:t>uvedenou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1.</w:t>
      </w:r>
      <w:r>
        <w:rPr>
          <w:spacing w:val="16"/>
          <w:sz w:val="20"/>
        </w:rPr>
        <w:t> </w:t>
      </w:r>
      <w:r>
        <w:rPr>
          <w:sz w:val="20"/>
        </w:rPr>
        <w:t>Pokud</w:t>
      </w:r>
      <w:r>
        <w:rPr>
          <w:spacing w:val="19"/>
          <w:sz w:val="20"/>
        </w:rPr>
        <w:t> </w:t>
      </w:r>
      <w:r>
        <w:rPr>
          <w:sz w:val="20"/>
        </w:rPr>
        <w:t>skutečné</w:t>
      </w:r>
      <w:r>
        <w:rPr>
          <w:spacing w:val="15"/>
          <w:sz w:val="20"/>
        </w:rPr>
        <w:t> </w:t>
      </w:r>
      <w:r>
        <w:rPr>
          <w:sz w:val="20"/>
        </w:rPr>
        <w:t>výdaje</w:t>
      </w:r>
      <w:r>
        <w:rPr>
          <w:spacing w:val="17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(a</w:t>
      </w:r>
      <w:r>
        <w:rPr>
          <w:spacing w:val="17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1. února 2020;</w:t>
      </w:r>
      <w:r>
        <w:rPr>
          <w:spacing w:val="-2"/>
          <w:sz w:val="20"/>
        </w:rPr>
        <w:t> </w:t>
      </w:r>
      <w:r>
        <w:rPr>
          <w:sz w:val="20"/>
        </w:rPr>
        <w:t>ustanovení článku 10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5"/>
          <w:sz w:val="20"/>
        </w:rPr>
        <w:t> </w:t>
      </w:r>
      <w:r>
        <w:rPr>
          <w:sz w:val="20"/>
        </w:rPr>
        <w:t>dodavatelům</w:t>
      </w:r>
      <w:r>
        <w:rPr>
          <w:spacing w:val="56"/>
          <w:sz w:val="20"/>
        </w:rPr>
        <w:t> </w:t>
      </w:r>
      <w:r>
        <w:rPr>
          <w:sz w:val="20"/>
        </w:rPr>
        <w:t>lze</w:t>
      </w:r>
      <w:r>
        <w:rPr>
          <w:spacing w:val="5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6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6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4"/>
          <w:sz w:val="20"/>
        </w:rPr>
        <w:t> </w:t>
      </w:r>
      <w:r>
        <w:rPr>
          <w:sz w:val="20"/>
        </w:rPr>
        <w:t>za</w:t>
      </w:r>
      <w:r>
        <w:rPr>
          <w:spacing w:val="58"/>
          <w:sz w:val="20"/>
        </w:rPr>
        <w:t> </w:t>
      </w:r>
      <w:r>
        <w:rPr>
          <w:sz w:val="20"/>
        </w:rPr>
        <w:t>stavební</w:t>
      </w:r>
      <w:r>
        <w:rPr>
          <w:spacing w:val="57"/>
          <w:sz w:val="20"/>
        </w:rPr>
        <w:t> </w:t>
      </w:r>
      <w:r>
        <w:rPr>
          <w:sz w:val="20"/>
        </w:rPr>
        <w:t>práce,</w:t>
      </w:r>
      <w:r>
        <w:rPr>
          <w:spacing w:val="58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ind w:left="741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40"/>
          <w:sz w:val="20"/>
        </w:rPr>
        <w:t> </w:t>
      </w:r>
      <w:r>
        <w:rPr>
          <w:sz w:val="20"/>
        </w:rPr>
        <w:t>článků 10 a 11 Výzvy.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spacing w:before="1"/>
        <w:ind w:left="1303"/>
      </w:pPr>
      <w:r>
        <w:rPr>
          <w:spacing w:val="-4"/>
        </w:rPr>
        <w:t>III.</w:t>
      </w:r>
    </w:p>
    <w:p>
      <w:pPr>
        <w:pStyle w:val="Heading2"/>
        <w:ind w:left="1303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Fond</w:t>
      </w:r>
      <w:r>
        <w:rPr>
          <w:spacing w:val="20"/>
          <w:sz w:val="20"/>
        </w:rPr>
        <w:t> </w:t>
      </w:r>
      <w:r>
        <w:rPr>
          <w:w w:val="95"/>
          <w:sz w:val="20"/>
        </w:rPr>
        <w:t>bude</w:t>
      </w:r>
      <w:r>
        <w:rPr>
          <w:spacing w:val="19"/>
          <w:sz w:val="20"/>
        </w:rPr>
        <w:t> </w:t>
      </w:r>
      <w:r>
        <w:rPr>
          <w:w w:val="95"/>
          <w:sz w:val="20"/>
        </w:rPr>
        <w:t>poskytovat</w:t>
      </w:r>
      <w:r>
        <w:rPr>
          <w:spacing w:val="18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21"/>
          <w:sz w:val="20"/>
        </w:rPr>
        <w:t> </w:t>
      </w:r>
      <w:r>
        <w:rPr>
          <w:w w:val="95"/>
          <w:sz w:val="20"/>
        </w:rPr>
        <w:t>prostředky</w:t>
      </w:r>
      <w:r>
        <w:rPr>
          <w:spacing w:val="18"/>
          <w:sz w:val="20"/>
        </w:rPr>
        <w:t> </w:t>
      </w:r>
      <w:r>
        <w:rPr>
          <w:w w:val="95"/>
          <w:sz w:val="20"/>
        </w:rPr>
        <w:t>průběžně</w:t>
      </w:r>
      <w:r>
        <w:rPr>
          <w:spacing w:val="24"/>
          <w:sz w:val="20"/>
        </w:rPr>
        <w:t> </w:t>
      </w:r>
      <w:r>
        <w:rPr>
          <w:w w:val="95"/>
          <w:sz w:val="20"/>
        </w:rPr>
        <w:t>postupem</w:t>
      </w:r>
      <w:r>
        <w:rPr>
          <w:spacing w:val="20"/>
          <w:sz w:val="20"/>
        </w:rPr>
        <w:t> </w:t>
      </w:r>
      <w:r>
        <w:rPr>
          <w:w w:val="95"/>
          <w:sz w:val="20"/>
        </w:rPr>
        <w:t>stanoveným</w:t>
      </w:r>
      <w:r>
        <w:rPr>
          <w:spacing w:val="23"/>
          <w:sz w:val="20"/>
        </w:rPr>
        <w:t> </w:t>
      </w:r>
      <w:r>
        <w:rPr>
          <w:w w:val="95"/>
          <w:sz w:val="20"/>
        </w:rPr>
        <w:t>touto</w:t>
      </w:r>
      <w:r>
        <w:rPr>
          <w:spacing w:val="22"/>
          <w:sz w:val="20"/>
        </w:rPr>
        <w:t> </w:t>
      </w:r>
      <w:r>
        <w:rPr>
          <w:w w:val="95"/>
          <w:sz w:val="20"/>
        </w:rPr>
        <w:t>Smlouvou</w:t>
      </w:r>
      <w:r>
        <w:rPr>
          <w:spacing w:val="22"/>
          <w:sz w:val="20"/>
        </w:rPr>
        <w:t> </w:t>
      </w:r>
      <w:r>
        <w:rPr>
          <w:w w:val="95"/>
          <w:sz w:val="20"/>
        </w:rPr>
        <w:t>tak,</w:t>
      </w:r>
      <w:r>
        <w:rPr>
          <w:spacing w:val="20"/>
          <w:sz w:val="20"/>
        </w:rPr>
        <w:t> </w:t>
      </w:r>
      <w:r>
        <w:rPr>
          <w:w w:val="95"/>
          <w:sz w:val="20"/>
        </w:rPr>
        <w:t>aby</w:t>
      </w:r>
      <w:r>
        <w:rPr>
          <w:spacing w:val="19"/>
          <w:sz w:val="20"/>
        </w:rPr>
        <w:t> </w:t>
      </w:r>
      <w:r>
        <w:rPr>
          <w:spacing w:val="-5"/>
          <w:w w:val="95"/>
          <w:sz w:val="20"/>
        </w:rPr>
        <w:t>byl</w:t>
      </w:r>
    </w:p>
    <w:p>
      <w:pPr>
        <w:pStyle w:val="BodyText"/>
        <w:spacing w:before="1"/>
      </w:pPr>
      <w:r>
        <w:rPr/>
        <w:t>dodržen</w:t>
      </w:r>
      <w:r>
        <w:rPr>
          <w:spacing w:val="-6"/>
        </w:rPr>
        <w:t> </w:t>
      </w:r>
      <w:r>
        <w:rPr/>
        <w:t>poměr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vlastních</w:t>
      </w:r>
      <w:r>
        <w:rPr>
          <w:spacing w:val="-6"/>
        </w:rPr>
        <w:t> </w:t>
      </w:r>
      <w:r>
        <w:rPr/>
        <w:t>zdrojů</w:t>
      </w:r>
      <w:r>
        <w:rPr>
          <w:spacing w:val="-7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níže</w:t>
      </w:r>
      <w:r>
        <w:rPr>
          <w:spacing w:val="-7"/>
        </w:rPr>
        <w:t> </w:t>
      </w:r>
      <w:r>
        <w:rPr/>
        <w:t>uvedených</w:t>
      </w:r>
      <w:r>
        <w:rPr>
          <w:spacing w:val="-4"/>
        </w:rPr>
        <w:t> </w:t>
      </w:r>
      <w:r>
        <w:rPr>
          <w:spacing w:val="-2"/>
        </w:rPr>
        <w:t>částek.</w:t>
      </w:r>
    </w:p>
    <w:p>
      <w:pPr>
        <w:spacing w:after="0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0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729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462,80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spacing w:before="1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15.3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platbu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předložením</w:t>
      </w:r>
      <w:r>
        <w:rPr>
          <w:spacing w:val="35"/>
          <w:sz w:val="20"/>
        </w:rPr>
        <w:t> </w:t>
      </w:r>
      <w:r>
        <w:rPr>
          <w:sz w:val="20"/>
        </w:rPr>
        <w:t>kopií</w:t>
      </w:r>
      <w:r>
        <w:rPr>
          <w:spacing w:val="34"/>
          <w:sz w:val="20"/>
        </w:rPr>
        <w:t> </w:t>
      </w:r>
      <w:r>
        <w:rPr>
          <w:sz w:val="20"/>
        </w:rPr>
        <w:t>faktur</w:t>
      </w:r>
      <w:r>
        <w:rPr>
          <w:spacing w:val="34"/>
          <w:sz w:val="20"/>
        </w:rPr>
        <w:t> </w:t>
      </w:r>
      <w:r>
        <w:rPr>
          <w:sz w:val="20"/>
        </w:rPr>
        <w:t>příjemce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mj.</w:t>
      </w:r>
      <w:r>
        <w:rPr>
          <w:spacing w:val="34"/>
          <w:sz w:val="20"/>
        </w:rPr>
        <w:t> </w:t>
      </w:r>
      <w:r>
        <w:rPr>
          <w:sz w:val="20"/>
        </w:rPr>
        <w:t>potvrzuje,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předložené</w:t>
      </w:r>
      <w:r>
        <w:rPr>
          <w:spacing w:val="33"/>
          <w:sz w:val="20"/>
        </w:rPr>
        <w:t> </w:t>
      </w:r>
      <w:r>
        <w:rPr>
          <w:sz w:val="20"/>
        </w:rPr>
        <w:t>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79"/>
          <w:sz w:val="20"/>
        </w:rPr>
        <w:t> </w:t>
      </w:r>
      <w:r>
        <w:rPr>
          <w:sz w:val="20"/>
        </w:rPr>
        <w:t>mohou</w:t>
      </w:r>
      <w:r>
        <w:rPr>
          <w:spacing w:val="77"/>
          <w:sz w:val="20"/>
        </w:rPr>
        <w:t> </w:t>
      </w:r>
      <w:r>
        <w:rPr>
          <w:sz w:val="20"/>
        </w:rPr>
        <w:t>být</w:t>
      </w:r>
      <w:r>
        <w:rPr>
          <w:spacing w:val="78"/>
          <w:sz w:val="20"/>
        </w:rPr>
        <w:t> </w:t>
      </w:r>
      <w:r>
        <w:rPr>
          <w:sz w:val="20"/>
        </w:rPr>
        <w:t>předloženy</w:t>
      </w:r>
      <w:r>
        <w:rPr>
          <w:spacing w:val="79"/>
          <w:sz w:val="20"/>
        </w:rPr>
        <w:t> </w:t>
      </w:r>
      <w:r>
        <w:rPr>
          <w:sz w:val="20"/>
        </w:rPr>
        <w:t>faktury</w:t>
      </w:r>
      <w:r>
        <w:rPr>
          <w:spacing w:val="79"/>
          <w:sz w:val="20"/>
        </w:rPr>
        <w:t> </w:t>
      </w:r>
      <w:r>
        <w:rPr>
          <w:sz w:val="20"/>
        </w:rPr>
        <w:t>již</w:t>
      </w:r>
      <w:r>
        <w:rPr>
          <w:spacing w:val="79"/>
          <w:sz w:val="20"/>
        </w:rPr>
        <w:t> </w:t>
      </w:r>
      <w:r>
        <w:rPr>
          <w:sz w:val="20"/>
        </w:rPr>
        <w:t>uhrazené.</w:t>
      </w:r>
      <w:r>
        <w:rPr>
          <w:spacing w:val="52"/>
          <w:w w:val="150"/>
          <w:sz w:val="20"/>
        </w:rPr>
        <w:t> </w:t>
      </w:r>
      <w:r>
        <w:rPr>
          <w:sz w:val="20"/>
        </w:rPr>
        <w:t>Fond</w:t>
      </w:r>
      <w:r>
        <w:rPr>
          <w:spacing w:val="52"/>
          <w:w w:val="150"/>
          <w:sz w:val="20"/>
        </w:rPr>
        <w:t> </w:t>
      </w:r>
      <w:r>
        <w:rPr>
          <w:sz w:val="20"/>
        </w:rPr>
        <w:t>akceptuje</w:t>
      </w:r>
      <w:r>
        <w:rPr>
          <w:spacing w:val="78"/>
          <w:sz w:val="20"/>
        </w:rPr>
        <w:t> </w:t>
      </w:r>
      <w:r>
        <w:rPr>
          <w:sz w:val="20"/>
        </w:rPr>
        <w:t>předložení</w:t>
      </w:r>
      <w:r>
        <w:rPr>
          <w:spacing w:val="79"/>
          <w:sz w:val="20"/>
        </w:rPr>
        <w:t> </w:t>
      </w:r>
      <w:r>
        <w:rPr>
          <w:sz w:val="20"/>
        </w:rPr>
        <w:t>faktur</w:t>
      </w:r>
      <w:r>
        <w:rPr>
          <w:spacing w:val="79"/>
          <w:sz w:val="20"/>
        </w:rPr>
        <w:t> </w:t>
      </w:r>
      <w:r>
        <w:rPr>
          <w:sz w:val="20"/>
        </w:rPr>
        <w:t>i</w:t>
      </w:r>
      <w:r>
        <w:rPr>
          <w:spacing w:val="7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 započtení vzájemných plnění stejného druhu (pohledávek a závazků) vzniklých na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  <w:spacing w:before="100"/>
        <w:ind w:right="111"/>
        <w:jc w:val="both"/>
      </w:pPr>
      <w:r>
        <w:rPr/>
        <w:t>základě smluvního vztahu mezi příjemcem faktury a fakturujícím zhotovitelem, podepsanou příjemcem podpory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zhotovitelem.</w:t>
      </w:r>
      <w:r>
        <w:rPr>
          <w:spacing w:val="-2"/>
        </w:rPr>
        <w:t> </w:t>
      </w:r>
      <w:r>
        <w:rPr/>
        <w:t>Tato</w:t>
      </w:r>
      <w:r>
        <w:rPr>
          <w:spacing w:val="-1"/>
        </w:rPr>
        <w:t> </w:t>
      </w:r>
      <w:r>
        <w:rPr/>
        <w:t>oboustranná vzájemná</w:t>
      </w:r>
      <w:r>
        <w:rPr>
          <w:spacing w:val="-2"/>
        </w:rPr>
        <w:t> </w:t>
      </w:r>
      <w:r>
        <w:rPr/>
        <w:t>dohoda</w:t>
      </w:r>
      <w:r>
        <w:rPr>
          <w:spacing w:val="-2"/>
        </w:rPr>
        <w:t> </w:t>
      </w:r>
      <w:r>
        <w:rPr/>
        <w:t>musí</w:t>
      </w:r>
      <w:r>
        <w:rPr>
          <w:spacing w:val="-2"/>
        </w:rPr>
        <w:t> </w:t>
      </w:r>
      <w:r>
        <w:rPr/>
        <w:t>být</w:t>
      </w:r>
      <w:r>
        <w:rPr>
          <w:spacing w:val="-2"/>
        </w:rPr>
        <w:t> </w:t>
      </w:r>
      <w:r>
        <w:rPr/>
        <w:t>uzavřena</w:t>
      </w:r>
      <w:r>
        <w:rPr>
          <w:spacing w:val="-2"/>
        </w:rPr>
        <w:t> </w:t>
      </w:r>
      <w:r>
        <w:rPr/>
        <w:t>v souladu s</w:t>
      </w:r>
      <w:r>
        <w:rPr>
          <w:spacing w:val="-2"/>
        </w:rPr>
        <w:t> </w:t>
      </w:r>
      <w:r>
        <w:rPr/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left="1303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116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9" w:after="0"/>
        <w:ind w:left="1090" w:right="113" w:hanging="281"/>
        <w:jc w:val="both"/>
        <w:rPr>
          <w:sz w:val="20"/>
        </w:rPr>
      </w:pPr>
      <w:r>
        <w:rPr>
          <w:sz w:val="20"/>
        </w:rPr>
        <w:t>dojde</w:t>
      </w:r>
      <w:r>
        <w:rPr>
          <w:spacing w:val="-8"/>
          <w:sz w:val="20"/>
        </w:rPr>
        <w:t> </w:t>
      </w:r>
      <w:r>
        <w:rPr>
          <w:sz w:val="20"/>
        </w:rPr>
        <w:t>ke</w:t>
      </w:r>
      <w:r>
        <w:rPr>
          <w:spacing w:val="-7"/>
          <w:sz w:val="20"/>
        </w:rPr>
        <w:t> </w:t>
      </w:r>
      <w:r>
        <w:rPr>
          <w:sz w:val="20"/>
        </w:rPr>
        <w:t>zlepšení</w:t>
      </w:r>
      <w:r>
        <w:rPr>
          <w:spacing w:val="-5"/>
          <w:sz w:val="20"/>
        </w:rPr>
        <w:t> </w:t>
      </w:r>
      <w:r>
        <w:rPr>
          <w:sz w:val="20"/>
        </w:rPr>
        <w:t>tepelně</w:t>
      </w:r>
      <w:r>
        <w:rPr>
          <w:spacing w:val="-7"/>
          <w:sz w:val="20"/>
        </w:rPr>
        <w:t> </w:t>
      </w:r>
      <w:r>
        <w:rPr>
          <w:sz w:val="20"/>
        </w:rPr>
        <w:t>izolačních</w:t>
      </w:r>
      <w:r>
        <w:rPr>
          <w:spacing w:val="-6"/>
          <w:sz w:val="20"/>
        </w:rPr>
        <w:t> </w:t>
      </w:r>
      <w:r>
        <w:rPr>
          <w:sz w:val="20"/>
        </w:rPr>
        <w:t>vlastností</w:t>
      </w:r>
      <w:r>
        <w:rPr>
          <w:spacing w:val="-7"/>
          <w:sz w:val="20"/>
        </w:rPr>
        <w:t> </w:t>
      </w:r>
      <w:r>
        <w:rPr>
          <w:sz w:val="20"/>
        </w:rPr>
        <w:t>neprůsvitných</w:t>
      </w:r>
      <w:r>
        <w:rPr>
          <w:spacing w:val="-4"/>
          <w:sz w:val="20"/>
        </w:rPr>
        <w:t> </w:t>
      </w:r>
      <w:r>
        <w:rPr>
          <w:sz w:val="20"/>
        </w:rPr>
        <w:t>konstrukcí.</w:t>
      </w:r>
      <w:r>
        <w:rPr>
          <w:spacing w:val="-5"/>
          <w:sz w:val="20"/>
        </w:rPr>
        <w:t> </w:t>
      </w:r>
      <w:r>
        <w:rPr>
          <w:sz w:val="20"/>
        </w:rPr>
        <w:t>Dojde</w:t>
      </w:r>
      <w:r>
        <w:rPr>
          <w:spacing w:val="-5"/>
          <w:sz w:val="20"/>
        </w:rPr>
        <w:t> </w:t>
      </w:r>
      <w:r>
        <w:rPr>
          <w:sz w:val="20"/>
        </w:rPr>
        <w:t>k zateplení</w:t>
      </w:r>
      <w:r>
        <w:rPr>
          <w:spacing w:val="-4"/>
          <w:sz w:val="20"/>
        </w:rPr>
        <w:t> </w:t>
      </w:r>
      <w:r>
        <w:rPr>
          <w:sz w:val="20"/>
        </w:rPr>
        <w:t>vnějšího pláště budovy, k zateplení střech a k výměně otvorových výplní,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1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1682"/>
        <w:gridCol w:w="1838"/>
        <w:gridCol w:w="1761"/>
      </w:tblGrid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55.15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35.44</w:t>
            </w:r>
          </w:p>
        </w:tc>
      </w:tr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763.60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553.03</w:t>
            </w:r>
          </w:p>
        </w:tc>
      </w:tr>
      <w:tr>
        <w:trPr>
          <w:trHeight w:val="532" w:hRule="atLeast"/>
        </w:trPr>
        <w:tc>
          <w:tcPr>
            <w:tcW w:w="3545" w:type="dxa"/>
          </w:tcPr>
          <w:p>
            <w:pPr>
              <w:pStyle w:val="TableParagraph"/>
              <w:spacing w:line="266" w:lineRule="exact"/>
              <w:ind w:left="38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839.20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581.15</w:t>
            </w:r>
          </w:p>
        </w:tc>
      </w:tr>
    </w:tbl>
    <w:p>
      <w:pPr>
        <w:pStyle w:val="BodyText"/>
        <w:jc w:val="both"/>
      </w:pPr>
      <w:r>
        <w:rPr/>
        <w:t>-</w:t>
      </w:r>
      <w:r>
        <w:rPr>
          <w:spacing w:val="75"/>
        </w:rPr>
        <w:t>  </w:t>
      </w:r>
      <w:r>
        <w:rPr/>
        <w:t>akce</w:t>
      </w:r>
      <w:r>
        <w:rPr>
          <w:spacing w:val="-5"/>
        </w:rPr>
        <w:t> </w:t>
      </w:r>
      <w:r>
        <w:rPr/>
        <w:t>bude</w:t>
      </w:r>
      <w:r>
        <w:rPr>
          <w:spacing w:val="-4"/>
        </w:rPr>
        <w:t> </w:t>
      </w:r>
      <w:r>
        <w:rPr/>
        <w:t>po</w:t>
      </w:r>
      <w:r>
        <w:rPr>
          <w:spacing w:val="-2"/>
        </w:rPr>
        <w:t> </w:t>
      </w:r>
      <w:r>
        <w:rPr/>
        <w:t>dobu</w:t>
      </w:r>
      <w:r>
        <w:rPr>
          <w:spacing w:val="-4"/>
        </w:rPr>
        <w:t> </w:t>
      </w:r>
      <w:r>
        <w:rPr/>
        <w:t>udržitelnosti</w:t>
      </w:r>
      <w:r>
        <w:rPr>
          <w:spacing w:val="-5"/>
        </w:rPr>
        <w:t> </w:t>
      </w:r>
      <w:r>
        <w:rPr/>
        <w:t>splňovat</w:t>
      </w:r>
      <w:r>
        <w:rPr>
          <w:spacing w:val="-5"/>
        </w:rPr>
        <w:t> </w:t>
      </w:r>
      <w:r>
        <w:rPr/>
        <w:t>podmínky</w:t>
      </w:r>
      <w:r>
        <w:rPr>
          <w:spacing w:val="-2"/>
        </w:rPr>
        <w:t> </w:t>
      </w:r>
      <w:r>
        <w:rPr/>
        <w:t>stanovené</w:t>
      </w:r>
      <w:r>
        <w:rPr>
          <w:spacing w:val="-4"/>
        </w:rPr>
        <w:t> </w:t>
      </w:r>
      <w:r>
        <w:rPr/>
        <w:t>ve</w:t>
      </w:r>
      <w:r>
        <w:rPr>
          <w:spacing w:val="-1"/>
        </w:rPr>
        <w:t> </w:t>
      </w:r>
      <w:r>
        <w:rPr/>
        <w:t>čl.</w:t>
      </w:r>
      <w:r>
        <w:rPr>
          <w:spacing w:val="-4"/>
        </w:rPr>
        <w:t> </w:t>
      </w:r>
      <w:r>
        <w:rPr/>
        <w:t>13</w:t>
      </w:r>
      <w:r>
        <w:rPr>
          <w:spacing w:val="-4"/>
        </w:rPr>
        <w:t> </w:t>
      </w:r>
      <w:r>
        <w:rPr/>
        <w:t>bodu</w:t>
      </w:r>
      <w:r>
        <w:rPr>
          <w:spacing w:val="-4"/>
        </w:rPr>
        <w:t> </w:t>
      </w:r>
      <w:r>
        <w:rPr/>
        <w:t>13.1</w:t>
      </w:r>
      <w:r>
        <w:rPr>
          <w:spacing w:val="-4"/>
        </w:rPr>
        <w:t> </w:t>
      </w:r>
      <w:r>
        <w:rPr/>
        <w:t>písm.</w:t>
      </w:r>
      <w:r>
        <w:rPr>
          <w:spacing w:val="-2"/>
        </w:rPr>
        <w:t> </w:t>
      </w:r>
      <w:r>
        <w:rPr/>
        <w:t>g)</w:t>
      </w:r>
      <w:r>
        <w:rPr>
          <w:spacing w:val="-5"/>
        </w:rPr>
        <w:t> </w:t>
      </w:r>
      <w:r>
        <w:rPr>
          <w:spacing w:val="-2"/>
        </w:rPr>
        <w:t>Výzvy,</w:t>
      </w:r>
    </w:p>
    <w:p>
      <w:pPr>
        <w:pStyle w:val="ListParagraph"/>
        <w:numPr>
          <w:ilvl w:val="1"/>
          <w:numId w:val="4"/>
        </w:numPr>
        <w:tabs>
          <w:tab w:pos="1102" w:val="left" w:leader="none"/>
        </w:tabs>
        <w:spacing w:line="240" w:lineRule="auto" w:before="121" w:after="0"/>
        <w:ind w:left="1102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1102" w:val="left" w:leader="none"/>
        </w:tabs>
        <w:spacing w:line="240" w:lineRule="auto" w:before="120" w:after="0"/>
        <w:ind w:left="1102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1102" w:val="left" w:leader="none"/>
        </w:tabs>
        <w:spacing w:line="240" w:lineRule="auto" w:before="118" w:after="0"/>
        <w:ind w:left="1101" w:right="110" w:hanging="360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5"/>
          <w:sz w:val="20"/>
        </w:rPr>
        <w:t> </w:t>
      </w:r>
      <w:r>
        <w:rPr>
          <w:sz w:val="20"/>
        </w:rPr>
        <w:t>relevantních</w:t>
      </w:r>
      <w:r>
        <w:rPr>
          <w:spacing w:val="-4"/>
          <w:sz w:val="20"/>
        </w:rPr>
        <w:t> </w:t>
      </w:r>
      <w:r>
        <w:rPr>
          <w:sz w:val="20"/>
        </w:rPr>
        <w:t>aktivit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jejich</w:t>
      </w:r>
      <w:r>
        <w:rPr>
          <w:spacing w:val="-4"/>
          <w:sz w:val="20"/>
        </w:rPr>
        <w:t> </w:t>
      </w:r>
      <w:r>
        <w:rPr>
          <w:sz w:val="20"/>
        </w:rPr>
        <w:t>výstupů)</w:t>
      </w:r>
      <w:r>
        <w:rPr>
          <w:spacing w:val="-2"/>
          <w:sz w:val="20"/>
        </w:rPr>
        <w:t> </w:t>
      </w:r>
      <w:r>
        <w:rPr>
          <w:sz w:val="20"/>
        </w:rPr>
        <w:t>řádně</w:t>
      </w:r>
      <w:r>
        <w:rPr>
          <w:spacing w:val="-5"/>
          <w:sz w:val="20"/>
        </w:rPr>
        <w:t> </w:t>
      </w:r>
      <w:r>
        <w:rPr>
          <w:sz w:val="20"/>
        </w:rPr>
        <w:t>plněn</w:t>
      </w:r>
      <w:r>
        <w:rPr>
          <w:spacing w:val="-3"/>
          <w:sz w:val="20"/>
        </w:rPr>
        <w:t> </w:t>
      </w:r>
      <w:r>
        <w:rPr>
          <w:sz w:val="20"/>
        </w:rPr>
        <w:t>nejméně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4"/>
          <w:sz w:val="20"/>
        </w:rPr>
        <w:t> </w:t>
      </w:r>
      <w:r>
        <w:rPr>
          <w:sz w:val="20"/>
        </w:rPr>
        <w:t>pěti</w:t>
      </w:r>
      <w:r>
        <w:rPr>
          <w:spacing w:val="-5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5"/>
          <w:sz w:val="20"/>
        </w:rPr>
        <w:t> </w:t>
      </w:r>
      <w:r>
        <w:rPr>
          <w:sz w:val="20"/>
        </w:rPr>
        <w:t>projektu (čl. 12 písm. f) Výzvy, včetně poznámky pod čarou č. 10 Výzvy),</w:t>
      </w:r>
    </w:p>
    <w:p>
      <w:pPr>
        <w:pStyle w:val="ListParagraph"/>
        <w:numPr>
          <w:ilvl w:val="0"/>
          <w:numId w:val="5"/>
        </w:numPr>
        <w:tabs>
          <w:tab w:pos="1102" w:val="left" w:leader="none"/>
        </w:tabs>
        <w:spacing w:line="240" w:lineRule="auto" w:before="121" w:after="0"/>
        <w:ind w:left="110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veškeré</w:t>
      </w:r>
      <w:r>
        <w:rPr>
          <w:spacing w:val="16"/>
          <w:sz w:val="20"/>
        </w:rPr>
        <w:t> </w:t>
      </w:r>
      <w:r>
        <w:rPr>
          <w:sz w:val="20"/>
        </w:rPr>
        <w:t>výdaje</w:t>
      </w:r>
      <w:r>
        <w:rPr>
          <w:spacing w:val="16"/>
          <w:sz w:val="20"/>
        </w:rPr>
        <w:t> </w:t>
      </w:r>
      <w:r>
        <w:rPr>
          <w:sz w:val="20"/>
        </w:rPr>
        <w:t>akce</w:t>
      </w:r>
      <w:r>
        <w:rPr>
          <w:spacing w:val="19"/>
          <w:sz w:val="20"/>
        </w:rPr>
        <w:t> </w:t>
      </w:r>
      <w:r>
        <w:rPr>
          <w:sz w:val="20"/>
        </w:rPr>
        <w:t>vést</w:t>
      </w:r>
      <w:r>
        <w:rPr>
          <w:spacing w:val="17"/>
          <w:sz w:val="20"/>
        </w:rPr>
        <w:t> </w:t>
      </w:r>
      <w:r>
        <w:rPr>
          <w:sz w:val="20"/>
        </w:rPr>
        <w:t>v účetnictví</w:t>
      </w:r>
      <w:r>
        <w:rPr>
          <w:spacing w:val="17"/>
          <w:sz w:val="20"/>
        </w:rPr>
        <w:t> </w:t>
      </w:r>
      <w:r>
        <w:rPr>
          <w:sz w:val="20"/>
        </w:rPr>
        <w:t>(zákon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563/1991</w:t>
      </w:r>
      <w:r>
        <w:rPr>
          <w:spacing w:val="18"/>
          <w:sz w:val="20"/>
        </w:rPr>
        <w:t> </w:t>
      </w:r>
      <w:r>
        <w:rPr>
          <w:sz w:val="20"/>
        </w:rPr>
        <w:t>Sb.,</w:t>
      </w:r>
      <w:r>
        <w:rPr>
          <w:spacing w:val="18"/>
          <w:sz w:val="20"/>
        </w:rPr>
        <w:t> </w:t>
      </w:r>
      <w:r>
        <w:rPr>
          <w:sz w:val="20"/>
        </w:rPr>
        <w:t>o účetnictví,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18"/>
          <w:sz w:val="20"/>
        </w:rPr>
        <w:t> </w:t>
      </w:r>
      <w:r>
        <w:rPr>
          <w:sz w:val="20"/>
        </w:rPr>
        <w:t>platném</w:t>
      </w:r>
      <w:r>
        <w:rPr>
          <w:spacing w:val="18"/>
          <w:sz w:val="20"/>
        </w:rPr>
        <w:t> </w:t>
      </w:r>
      <w:r>
        <w:rPr>
          <w:sz w:val="20"/>
        </w:rPr>
        <w:t>znění) či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27"/>
          <w:sz w:val="20"/>
        </w:rPr>
        <w:t> </w:t>
      </w:r>
      <w:r>
        <w:rPr>
          <w:sz w:val="20"/>
        </w:rPr>
        <w:t>daňové</w:t>
      </w:r>
      <w:r>
        <w:rPr>
          <w:spacing w:val="28"/>
          <w:sz w:val="20"/>
        </w:rPr>
        <w:t> </w:t>
      </w:r>
      <w:r>
        <w:rPr>
          <w:sz w:val="20"/>
        </w:rPr>
        <w:t>evidenci</w:t>
      </w:r>
      <w:r>
        <w:rPr>
          <w:spacing w:val="27"/>
          <w:sz w:val="20"/>
        </w:rPr>
        <w:t> </w:t>
      </w:r>
      <w:r>
        <w:rPr>
          <w:sz w:val="20"/>
        </w:rPr>
        <w:t>(zákon</w:t>
      </w:r>
      <w:r>
        <w:rPr>
          <w:spacing w:val="26"/>
          <w:sz w:val="20"/>
        </w:rPr>
        <w:t> </w:t>
      </w:r>
      <w:r>
        <w:rPr>
          <w:sz w:val="20"/>
        </w:rPr>
        <w:t>č.</w:t>
      </w:r>
      <w:r>
        <w:rPr>
          <w:spacing w:val="26"/>
          <w:sz w:val="20"/>
        </w:rPr>
        <w:t> </w:t>
      </w:r>
      <w:r>
        <w:rPr>
          <w:sz w:val="20"/>
        </w:rPr>
        <w:t>586/1992</w:t>
      </w:r>
      <w:r>
        <w:rPr>
          <w:spacing w:val="26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daních</w:t>
      </w:r>
      <w:r>
        <w:rPr>
          <w:spacing w:val="26"/>
          <w:sz w:val="20"/>
        </w:rPr>
        <w:t> </w:t>
      </w:r>
      <w:r>
        <w:rPr>
          <w:sz w:val="20"/>
        </w:rPr>
        <w:t>z příjmů,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27"/>
          <w:sz w:val="20"/>
        </w:rPr>
        <w:t> </w:t>
      </w:r>
      <w:r>
        <w:rPr>
          <w:sz w:val="20"/>
        </w:rPr>
        <w:t>znění)</w:t>
      </w:r>
      <w:r>
        <w:rPr>
          <w:spacing w:val="27"/>
          <w:sz w:val="20"/>
        </w:rPr>
        <w:t> </w:t>
      </w:r>
      <w:r>
        <w:rPr>
          <w:sz w:val="20"/>
        </w:rPr>
        <w:t>podle</w:t>
      </w:r>
      <w:r>
        <w:rPr>
          <w:spacing w:val="25"/>
          <w:sz w:val="20"/>
        </w:rPr>
        <w:t> </w:t>
      </w:r>
      <w:r>
        <w:rPr>
          <w:sz w:val="20"/>
        </w:rPr>
        <w:t>pokynů v čl. 12 písm. b) Výzvy,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20" w:after="0"/>
        <w:ind w:left="1063" w:right="106" w:hanging="286"/>
        <w:jc w:val="both"/>
        <w:rPr>
          <w:sz w:val="20"/>
        </w:rPr>
      </w:pPr>
      <w:r>
        <w:rPr>
          <w:sz w:val="20"/>
        </w:rPr>
        <w:t>zamezí tzv. dvojímu</w:t>
      </w:r>
      <w:r>
        <w:rPr>
          <w:spacing w:val="-1"/>
          <w:sz w:val="20"/>
        </w:rPr>
        <w:t> </w:t>
      </w:r>
      <w:r>
        <w:rPr>
          <w:sz w:val="20"/>
        </w:rPr>
        <w:t>financování, tj. bude zejména postupovat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k) Výzvy, tedy</w:t>
      </w:r>
      <w:r>
        <w:rPr>
          <w:spacing w:val="-14"/>
          <w:sz w:val="20"/>
        </w:rPr>
        <w:t> </w:t>
      </w:r>
      <w:r>
        <w:rPr>
          <w:sz w:val="20"/>
        </w:rPr>
        <w:t>nebude</w:t>
      </w:r>
      <w:r>
        <w:rPr>
          <w:spacing w:val="-14"/>
          <w:sz w:val="20"/>
        </w:rPr>
        <w:t> </w:t>
      </w:r>
      <w:r>
        <w:rPr>
          <w:sz w:val="20"/>
        </w:rPr>
        <w:t>čerpat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stejné</w:t>
      </w:r>
      <w:r>
        <w:rPr>
          <w:spacing w:val="-14"/>
          <w:sz w:val="20"/>
        </w:rPr>
        <w:t> </w:t>
      </w:r>
      <w:r>
        <w:rPr>
          <w:sz w:val="20"/>
        </w:rPr>
        <w:t>způsobilé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části</w:t>
      </w:r>
      <w:r>
        <w:rPr>
          <w:spacing w:val="-14"/>
          <w:sz w:val="20"/>
        </w:rPr>
        <w:t> </w:t>
      </w:r>
      <w:r>
        <w:rPr>
          <w:sz w:val="20"/>
        </w:rPr>
        <w:t>jinou</w:t>
      </w:r>
      <w:r>
        <w:rPr>
          <w:spacing w:val="-11"/>
          <w:sz w:val="20"/>
        </w:rPr>
        <w:t> </w:t>
      </w:r>
      <w:r>
        <w:rPr>
          <w:sz w:val="20"/>
        </w:rPr>
        <w:t>veřejnou</w:t>
      </w:r>
      <w:r>
        <w:rPr>
          <w:spacing w:val="-14"/>
          <w:sz w:val="20"/>
        </w:rPr>
        <w:t> </w:t>
      </w:r>
      <w:r>
        <w:rPr>
          <w:sz w:val="20"/>
        </w:rPr>
        <w:t>podporu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článku 107</w:t>
      </w:r>
      <w:r>
        <w:rPr>
          <w:spacing w:val="-7"/>
          <w:sz w:val="20"/>
        </w:rPr>
        <w:t> </w:t>
      </w:r>
      <w:r>
        <w:rPr>
          <w:sz w:val="20"/>
        </w:rPr>
        <w:t>odst.</w:t>
      </w:r>
      <w:r>
        <w:rPr>
          <w:spacing w:val="-8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fungování</w:t>
      </w:r>
      <w:r>
        <w:rPr>
          <w:spacing w:val="-8"/>
          <w:sz w:val="20"/>
        </w:rPr>
        <w:t> </w:t>
      </w:r>
      <w:r>
        <w:rPr>
          <w:sz w:val="20"/>
        </w:rPr>
        <w:t>Evropské</w:t>
      </w:r>
      <w:r>
        <w:rPr>
          <w:spacing w:val="-9"/>
          <w:sz w:val="20"/>
        </w:rPr>
        <w:t> </w:t>
      </w:r>
      <w:r>
        <w:rPr>
          <w:sz w:val="20"/>
        </w:rPr>
        <w:t>unie,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prostředků</w:t>
      </w:r>
      <w:r>
        <w:rPr>
          <w:spacing w:val="-8"/>
          <w:sz w:val="20"/>
        </w:rPr>
        <w:t> </w:t>
      </w:r>
      <w:r>
        <w:rPr>
          <w:sz w:val="20"/>
        </w:rPr>
        <w:t>Unie,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 orgány,</w:t>
      </w:r>
      <w:r>
        <w:rPr>
          <w:spacing w:val="-13"/>
          <w:sz w:val="20"/>
        </w:rPr>
        <w:t> </w:t>
      </w:r>
      <w:r>
        <w:rPr>
          <w:sz w:val="20"/>
        </w:rPr>
        <w:t>agentury,</w:t>
      </w:r>
      <w:r>
        <w:rPr>
          <w:spacing w:val="-13"/>
          <w:sz w:val="20"/>
        </w:rPr>
        <w:t> </w:t>
      </w:r>
      <w:r>
        <w:rPr>
          <w:sz w:val="20"/>
        </w:rPr>
        <w:t>společné</w:t>
      </w:r>
      <w:r>
        <w:rPr>
          <w:spacing w:val="-11"/>
          <w:sz w:val="20"/>
        </w:rPr>
        <w:t> </w:t>
      </w:r>
      <w:r>
        <w:rPr>
          <w:sz w:val="20"/>
        </w:rPr>
        <w:t>podniky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jiné</w:t>
      </w:r>
      <w:r>
        <w:rPr>
          <w:spacing w:val="-14"/>
          <w:sz w:val="20"/>
        </w:rPr>
        <w:t> </w:t>
      </w:r>
      <w:r>
        <w:rPr>
          <w:sz w:val="20"/>
        </w:rPr>
        <w:t>subjekty</w:t>
      </w:r>
      <w:r>
        <w:rPr>
          <w:spacing w:val="-12"/>
          <w:sz w:val="20"/>
        </w:rPr>
        <w:t> </w:t>
      </w:r>
      <w:r>
        <w:rPr>
          <w:sz w:val="20"/>
        </w:rPr>
        <w:t>EU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která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3"/>
          <w:sz w:val="20"/>
        </w:rPr>
        <w:t> </w:t>
      </w:r>
      <w:r>
        <w:rPr>
          <w:sz w:val="20"/>
        </w:rPr>
        <w:t>přímo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1"/>
          <w:sz w:val="20"/>
        </w:rPr>
        <w:t> </w:t>
      </w:r>
      <w:r>
        <w:rPr>
          <w:sz w:val="20"/>
        </w:rPr>
        <w:t>nepřímo</w:t>
      </w:r>
      <w:r>
        <w:rPr>
          <w:spacing w:val="-12"/>
          <w:sz w:val="20"/>
        </w:rPr>
        <w:t> </w:t>
      </w:r>
      <w:r>
        <w:rPr>
          <w:sz w:val="20"/>
        </w:rPr>
        <w:t>pod</w:t>
      </w:r>
      <w:r>
        <w:rPr>
          <w:spacing w:val="-12"/>
          <w:sz w:val="20"/>
        </w:rPr>
        <w:t> </w:t>
      </w:r>
      <w:r>
        <w:rPr>
          <w:sz w:val="20"/>
        </w:rPr>
        <w:t>kontrolou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  <w:spacing w:before="100"/>
        <w:ind w:left="1063"/>
      </w:pPr>
      <w:r>
        <w:rPr/>
        <w:t>členských</w:t>
      </w:r>
      <w:r>
        <w:rPr>
          <w:spacing w:val="-8"/>
        </w:rPr>
        <w:t> </w:t>
      </w:r>
      <w:r>
        <w:rPr/>
        <w:t>států,</w:t>
      </w:r>
      <w:r>
        <w:rPr>
          <w:spacing w:val="-8"/>
        </w:rPr>
        <w:t> </w:t>
      </w:r>
      <w:r>
        <w:rPr/>
        <w:t>podporu</w:t>
      </w:r>
      <w:r>
        <w:rPr>
          <w:spacing w:val="-8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7"/>
        </w:rPr>
        <w:t> </w:t>
      </w:r>
      <w:r>
        <w:rPr/>
        <w:t>rozpočtu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dalších</w:t>
      </w:r>
      <w:r>
        <w:rPr>
          <w:spacing w:val="-6"/>
        </w:rPr>
        <w:t> </w:t>
      </w:r>
      <w:r>
        <w:rPr/>
        <w:t>veřejných</w:t>
      </w:r>
      <w:r>
        <w:rPr>
          <w:spacing w:val="-7"/>
        </w:rPr>
        <w:t> </w:t>
      </w:r>
      <w:r>
        <w:rPr/>
        <w:t>zdrojů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ani</w:t>
      </w:r>
      <w:r>
        <w:rPr>
          <w:spacing w:val="-8"/>
        </w:rPr>
        <w:t> </w:t>
      </w:r>
      <w:r>
        <w:rPr/>
        <w:t>podporu</w:t>
      </w:r>
      <w:r>
        <w:rPr>
          <w:spacing w:val="-8"/>
        </w:rPr>
        <w:t> </w:t>
      </w:r>
      <w:r>
        <w:rPr/>
        <w:t>v</w:t>
      </w:r>
      <w:r>
        <w:rPr>
          <w:spacing w:val="-8"/>
        </w:rPr>
        <w:t> </w:t>
      </w:r>
      <w:r>
        <w:rPr/>
        <w:t>režimu</w:t>
      </w:r>
      <w:r>
        <w:rPr>
          <w:spacing w:val="-8"/>
        </w:rPr>
        <w:t> </w:t>
      </w:r>
      <w:r>
        <w:rPr>
          <w:spacing w:val="-5"/>
        </w:rPr>
        <w:t>de</w:t>
      </w:r>
    </w:p>
    <w:p>
      <w:pPr>
        <w:pStyle w:val="BodyText"/>
        <w:ind w:left="1063"/>
      </w:pPr>
      <w:r>
        <w:rPr>
          <w:spacing w:val="-2"/>
        </w:rPr>
        <w:t>minimis,</w:t>
      </w:r>
    </w:p>
    <w:p>
      <w:pPr>
        <w:pStyle w:val="ListParagraph"/>
        <w:numPr>
          <w:ilvl w:val="0"/>
          <w:numId w:val="5"/>
        </w:numPr>
        <w:tabs>
          <w:tab w:pos="1138" w:val="left" w:leader="none"/>
        </w:tabs>
        <w:spacing w:line="240" w:lineRule="auto" w:before="118" w:after="0"/>
        <w:ind w:left="1138" w:right="118" w:hanging="360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po dobu udržitelnosti projektu 5 let,</w:t>
      </w:r>
    </w:p>
    <w:p>
      <w:pPr>
        <w:pStyle w:val="ListParagraph"/>
        <w:numPr>
          <w:ilvl w:val="0"/>
          <w:numId w:val="5"/>
        </w:numPr>
        <w:tabs>
          <w:tab w:pos="1138" w:val="left" w:leader="none"/>
        </w:tabs>
        <w:spacing w:line="240" w:lineRule="auto" w:before="121" w:after="0"/>
        <w:ind w:left="1138" w:right="113" w:hanging="360"/>
        <w:jc w:val="both"/>
        <w:rPr>
          <w:sz w:val="20"/>
        </w:rPr>
      </w:pPr>
      <w:r>
        <w:rPr>
          <w:sz w:val="20"/>
        </w:rPr>
        <w:t>bude dodržen čl. 12 písm. d) a e) a čl. 13.2 písm. h)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2019/2088,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termín dokončení akce do konce 10/2025 a o dodržení tohoto termínu Fond bez zbytečného odkladu informovat (termínem dokončení akce se rozumí datum uvedení stavby k trvalému provozu, v souladu 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zákonem</w:t>
      </w:r>
      <w:r>
        <w:rPr>
          <w:spacing w:val="33"/>
          <w:sz w:val="20"/>
        </w:rPr>
        <w:t>  </w:t>
      </w:r>
      <w:r>
        <w:rPr>
          <w:sz w:val="20"/>
        </w:rPr>
        <w:t>č.</w:t>
      </w:r>
      <w:r>
        <w:rPr>
          <w:spacing w:val="33"/>
          <w:sz w:val="20"/>
        </w:rPr>
        <w:t>  </w:t>
      </w:r>
      <w:r>
        <w:rPr>
          <w:sz w:val="20"/>
        </w:rPr>
        <w:t>183/2006</w:t>
      </w:r>
      <w:r>
        <w:rPr>
          <w:spacing w:val="33"/>
          <w:sz w:val="20"/>
        </w:rPr>
        <w:t>  </w:t>
      </w:r>
      <w:r>
        <w:rPr>
          <w:sz w:val="20"/>
        </w:rPr>
        <w:t>Sb.,</w:t>
      </w:r>
      <w:r>
        <w:rPr>
          <w:spacing w:val="33"/>
          <w:sz w:val="20"/>
        </w:rPr>
        <w:t>  </w:t>
      </w:r>
      <w:r>
        <w:rPr>
          <w:sz w:val="20"/>
        </w:rPr>
        <w:t>o</w:t>
      </w:r>
      <w:r>
        <w:rPr>
          <w:spacing w:val="33"/>
          <w:sz w:val="20"/>
        </w:rPr>
        <w:t>  </w:t>
      </w:r>
      <w:r>
        <w:rPr>
          <w:sz w:val="20"/>
        </w:rPr>
        <w:t>uzemním</w:t>
      </w:r>
      <w:r>
        <w:rPr>
          <w:spacing w:val="33"/>
          <w:sz w:val="20"/>
        </w:rPr>
        <w:t>  </w:t>
      </w:r>
      <w:r>
        <w:rPr>
          <w:sz w:val="20"/>
        </w:rPr>
        <w:t>plánování</w:t>
      </w:r>
      <w:r>
        <w:rPr>
          <w:spacing w:val="33"/>
          <w:sz w:val="20"/>
        </w:rPr>
        <w:t>  </w:t>
      </w:r>
      <w:r>
        <w:rPr>
          <w:sz w:val="20"/>
        </w:rPr>
        <w:t>a</w:t>
      </w:r>
      <w:r>
        <w:rPr>
          <w:spacing w:val="33"/>
          <w:sz w:val="20"/>
        </w:rPr>
        <w:t>  </w:t>
      </w:r>
      <w:r>
        <w:rPr>
          <w:sz w:val="20"/>
        </w:rPr>
        <w:t>stavebním</w:t>
      </w:r>
      <w:r>
        <w:rPr>
          <w:spacing w:val="33"/>
          <w:sz w:val="20"/>
        </w:rPr>
        <w:t>  </w:t>
      </w:r>
      <w:r>
        <w:rPr>
          <w:sz w:val="20"/>
        </w:rPr>
        <w:t>řádu</w:t>
      </w:r>
      <w:r>
        <w:rPr>
          <w:spacing w:val="34"/>
          <w:sz w:val="20"/>
        </w:rPr>
        <w:t>  </w:t>
      </w:r>
      <w:r>
        <w:rPr>
          <w:sz w:val="20"/>
        </w:rPr>
        <w:t>(stavební</w:t>
      </w:r>
      <w:r>
        <w:rPr>
          <w:spacing w:val="33"/>
          <w:sz w:val="20"/>
        </w:rPr>
        <w:t>  </w:t>
      </w:r>
      <w:r>
        <w:rPr>
          <w:sz w:val="20"/>
        </w:rPr>
        <w:t>zákon), v</w:t>
      </w:r>
      <w:r>
        <w:rPr>
          <w:spacing w:val="-9"/>
          <w:sz w:val="20"/>
        </w:rPr>
        <w:t> </w:t>
      </w:r>
      <w:r>
        <w:rPr>
          <w:sz w:val="20"/>
        </w:rPr>
        <w:t>platném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(kolaudační</w:t>
      </w:r>
      <w:r>
        <w:rPr>
          <w:spacing w:val="-8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doložení</w:t>
      </w:r>
      <w:r>
        <w:rPr>
          <w:spacing w:val="-10"/>
          <w:sz w:val="20"/>
        </w:rPr>
        <w:t> </w:t>
      </w:r>
      <w:r>
        <w:rPr>
          <w:sz w:val="20"/>
        </w:rPr>
        <w:t>oslovení</w:t>
      </w:r>
      <w:r>
        <w:rPr>
          <w:spacing w:val="-8"/>
          <w:sz w:val="20"/>
        </w:rPr>
        <w:t> </w:t>
      </w:r>
      <w:r>
        <w:rPr>
          <w:sz w:val="20"/>
        </w:rPr>
        <w:t>stavebního</w:t>
      </w:r>
      <w:r>
        <w:rPr>
          <w:spacing w:val="-9"/>
          <w:sz w:val="20"/>
        </w:rPr>
        <w:t> </w:t>
      </w:r>
      <w:r>
        <w:rPr>
          <w:sz w:val="20"/>
        </w:rPr>
        <w:t>úřadu,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8"/>
          <w:sz w:val="20"/>
        </w:rPr>
        <w:t> </w:t>
      </w:r>
      <w:r>
        <w:rPr>
          <w:sz w:val="20"/>
        </w:rPr>
        <w:t>písemný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že stavbu lze užívat)),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01/2026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Závěrečnému vyhodnocení akce (dále jen „ZVA“) podle čl. 15 bodu 15.4 Výzvy.</w:t>
      </w:r>
    </w:p>
    <w:p>
      <w:pPr>
        <w:pStyle w:val="BodyText"/>
        <w:spacing w:before="121"/>
        <w:ind w:left="948" w:right="111"/>
        <w:jc w:val="both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00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5 let, a to v takovém rozsahu (i pokud jde o poskytnutí příslušných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dokladů),</w:t>
      </w:r>
      <w:r>
        <w:rPr>
          <w:spacing w:val="-3"/>
          <w:sz w:val="20"/>
        </w:rPr>
        <w:t> </w:t>
      </w:r>
      <w:r>
        <w:rPr>
          <w:sz w:val="20"/>
        </w:rPr>
        <w:t>aby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objasněny</w:t>
      </w:r>
      <w:r>
        <w:rPr>
          <w:spacing w:val="-4"/>
          <w:sz w:val="20"/>
        </w:rPr>
        <w:t> </w:t>
      </w:r>
      <w:r>
        <w:rPr>
          <w:sz w:val="20"/>
        </w:rPr>
        <w:t>všechny</w:t>
      </w:r>
      <w:r>
        <w:rPr>
          <w:spacing w:val="-4"/>
          <w:sz w:val="20"/>
        </w:rPr>
        <w:t> </w:t>
      </w:r>
      <w:r>
        <w:rPr>
          <w:sz w:val="20"/>
        </w:rPr>
        <w:t>okolnosti,</w:t>
      </w:r>
      <w:r>
        <w:rPr>
          <w:spacing w:val="-4"/>
          <w:sz w:val="20"/>
        </w:rPr>
        <w:t> </w:t>
      </w:r>
      <w:r>
        <w:rPr>
          <w:sz w:val="20"/>
        </w:rPr>
        <w:t>týkající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 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3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1" w:after="0"/>
        <w:ind w:left="741" w:right="108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nesmí</w:t>
      </w:r>
      <w:r>
        <w:rPr>
          <w:spacing w:val="-14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61</w:t>
      </w:r>
      <w:r>
        <w:rPr>
          <w:spacing w:val="-13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 praní peněz nebo financování terorismu a ve smyslu § 4c zákona č. 159/2006 Sb., o střetu zájmů, v platném znění.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4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povinen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zdržet</w:t>
      </w:r>
      <w:r>
        <w:rPr>
          <w:spacing w:val="4"/>
          <w:sz w:val="20"/>
        </w:rPr>
        <w:t> </w:t>
      </w:r>
      <w:r>
        <w:rPr>
          <w:sz w:val="20"/>
        </w:rPr>
        <w:t>podvodného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korupčního</w:t>
      </w:r>
      <w:r>
        <w:rPr>
          <w:spacing w:val="4"/>
          <w:sz w:val="20"/>
        </w:rPr>
        <w:t> </w:t>
      </w:r>
      <w:r>
        <w:rPr>
          <w:sz w:val="20"/>
        </w:rPr>
        <w:t>jednání</w:t>
      </w:r>
      <w:r>
        <w:rPr>
          <w:spacing w:val="4"/>
          <w:sz w:val="20"/>
        </w:rPr>
        <w:t> </w:t>
      </w:r>
      <w:r>
        <w:rPr>
          <w:sz w:val="20"/>
        </w:rPr>
        <w:t>definovaného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čl.</w:t>
      </w:r>
      <w:r>
        <w:rPr>
          <w:spacing w:val="4"/>
          <w:sz w:val="20"/>
        </w:rPr>
        <w:t> </w:t>
      </w:r>
      <w:r>
        <w:rPr>
          <w:sz w:val="20"/>
        </w:rPr>
        <w:t>12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písm.</w:t>
      </w:r>
    </w:p>
    <w:p>
      <w:pPr>
        <w:pStyle w:val="BodyText"/>
        <w:spacing w:before="1"/>
        <w:ind w:left="741"/>
        <w:jc w:val="both"/>
      </w:pPr>
      <w:r>
        <w:rPr/>
        <w:t>o)</w:t>
      </w:r>
      <w:r>
        <w:rPr>
          <w:spacing w:val="-3"/>
        </w:rPr>
        <w:t> </w:t>
      </w:r>
      <w:r>
        <w:rPr>
          <w:spacing w:val="-2"/>
        </w:rPr>
        <w:t>Výzvy.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left="130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d),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odpovídající neoprávněně použitým prostředkům.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07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druhou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třetí</w:t>
      </w:r>
      <w:r>
        <w:rPr>
          <w:spacing w:val="-14"/>
          <w:sz w:val="20"/>
        </w:rPr>
        <w:t> </w:t>
      </w:r>
      <w:r>
        <w:rPr>
          <w:sz w:val="20"/>
        </w:rPr>
        <w:t>odrážkou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4"/>
          <w:sz w:val="20"/>
        </w:rPr>
        <w:t> </w:t>
      </w:r>
      <w:r>
        <w:rPr>
          <w:sz w:val="20"/>
        </w:rPr>
        <w:t>50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50-89,99 % stanovených indikátorů, bude toto porušení postiženo odvodem v rozmezí 10-50</w:t>
      </w:r>
    </w:p>
    <w:p>
      <w:pPr>
        <w:pStyle w:val="BodyText"/>
        <w:spacing w:line="265" w:lineRule="exact"/>
        <w:jc w:val="both"/>
      </w:pPr>
      <w:r>
        <w:rPr/>
        <w:t>%</w:t>
      </w:r>
      <w:r>
        <w:rPr>
          <w:spacing w:val="-7"/>
        </w:rPr>
        <w:t> </w:t>
      </w: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v</w:t>
      </w:r>
      <w:r>
        <w:rPr>
          <w:spacing w:val="-4"/>
        </w:rPr>
        <w:t> </w:t>
      </w:r>
      <w:r>
        <w:rPr/>
        <w:t>závislosti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míře</w:t>
      </w:r>
      <w:r>
        <w:rPr>
          <w:spacing w:val="-7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stanovených</w:t>
      </w:r>
      <w:r>
        <w:rPr>
          <w:spacing w:val="-6"/>
        </w:rPr>
        <w:t> </w:t>
      </w:r>
      <w:r>
        <w:rPr/>
        <w:t>indikátorů</w:t>
      </w:r>
      <w:r>
        <w:rPr>
          <w:spacing w:val="-6"/>
        </w:rPr>
        <w:t> </w:t>
      </w:r>
      <w:r>
        <w:rPr/>
        <w:t>účelu</w:t>
      </w:r>
      <w:r>
        <w:rPr>
          <w:spacing w:val="-4"/>
        </w:rPr>
        <w:t> </w:t>
      </w:r>
      <w:r>
        <w:rPr/>
        <w:t>akce.</w:t>
      </w:r>
      <w:r>
        <w:rPr>
          <w:spacing w:val="-2"/>
        </w:rPr>
        <w:t> </w:t>
      </w:r>
      <w:r>
        <w:rPr/>
        <w:t>Plnění</w:t>
      </w:r>
      <w:r>
        <w:rPr>
          <w:spacing w:val="-7"/>
        </w:rPr>
        <w:t> </w:t>
      </w:r>
      <w:r>
        <w:rPr>
          <w:spacing w:val="-2"/>
        </w:rPr>
        <w:t>účelu</w:t>
      </w:r>
    </w:p>
    <w:p>
      <w:pPr>
        <w:spacing w:after="0" w:line="265" w:lineRule="exact"/>
        <w:jc w:val="both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  <w:spacing w:before="100"/>
        <w:jc w:val="both"/>
      </w:pPr>
      <w:r>
        <w:rPr/>
        <w:t>akce</w:t>
      </w:r>
      <w:r>
        <w:rPr>
          <w:spacing w:val="-8"/>
        </w:rPr>
        <w:t> </w:t>
      </w:r>
      <w:r>
        <w:rPr/>
        <w:t>v</w:t>
      </w:r>
      <w:r>
        <w:rPr>
          <w:spacing w:val="-6"/>
        </w:rPr>
        <w:t> </w:t>
      </w:r>
      <w:r>
        <w:rPr/>
        <w:t>rozmezí</w:t>
      </w:r>
      <w:r>
        <w:rPr>
          <w:spacing w:val="-7"/>
        </w:rPr>
        <w:t> </w:t>
      </w:r>
      <w:r>
        <w:rPr/>
        <w:t>90-100</w:t>
      </w:r>
      <w:r>
        <w:rPr>
          <w:spacing w:val="-7"/>
        </w:rPr>
        <w:t> </w:t>
      </w:r>
      <w:r>
        <w:rPr/>
        <w:t>%</w:t>
      </w:r>
      <w:r>
        <w:rPr>
          <w:spacing w:val="-7"/>
        </w:rPr>
        <w:t> </w:t>
      </w:r>
      <w:r>
        <w:rPr/>
        <w:t>stanovených</w:t>
      </w:r>
      <w:r>
        <w:rPr>
          <w:spacing w:val="-6"/>
        </w:rPr>
        <w:t> </w:t>
      </w:r>
      <w:r>
        <w:rPr/>
        <w:t>indikátorů</w:t>
      </w:r>
      <w:r>
        <w:rPr>
          <w:spacing w:val="-7"/>
        </w:rPr>
        <w:t> </w:t>
      </w:r>
      <w:r>
        <w:rPr/>
        <w:t>nebude</w:t>
      </w:r>
      <w:r>
        <w:rPr>
          <w:spacing w:val="-8"/>
        </w:rPr>
        <w:t> </w:t>
      </w:r>
      <w:r>
        <w:rPr/>
        <w:t>postiženo</w:t>
      </w:r>
      <w:r>
        <w:rPr>
          <w:spacing w:val="-5"/>
        </w:rPr>
        <w:t> </w:t>
      </w:r>
      <w:r>
        <w:rPr>
          <w:spacing w:val="-2"/>
        </w:rPr>
        <w:t>odvodem.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6"/>
          <w:sz w:val="20"/>
        </w:rPr>
        <w:t> </w:t>
      </w:r>
      <w:r>
        <w:rPr>
          <w:sz w:val="20"/>
        </w:rPr>
        <w:t>Porušení</w:t>
      </w:r>
      <w:r>
        <w:rPr>
          <w:spacing w:val="66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6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6"/>
          <w:sz w:val="20"/>
        </w:rPr>
        <w:t> </w:t>
      </w:r>
      <w:r>
        <w:rPr>
          <w:sz w:val="20"/>
        </w:rPr>
        <w:t>10</w:t>
      </w:r>
      <w:r>
        <w:rPr>
          <w:spacing w:val="66"/>
          <w:sz w:val="20"/>
        </w:rPr>
        <w:t> </w:t>
      </w:r>
      <w:r>
        <w:rPr>
          <w:sz w:val="20"/>
        </w:rPr>
        <w:t>kalendářních</w:t>
      </w:r>
      <w:r>
        <w:rPr>
          <w:spacing w:val="66"/>
          <w:sz w:val="20"/>
        </w:rPr>
        <w:t> </w:t>
      </w:r>
      <w:r>
        <w:rPr>
          <w:sz w:val="20"/>
        </w:rPr>
        <w:t>dnů</w:t>
      </w:r>
      <w:r>
        <w:rPr>
          <w:spacing w:val="66"/>
          <w:sz w:val="20"/>
        </w:rPr>
        <w:t> </w:t>
      </w:r>
      <w:r>
        <w:rPr>
          <w:sz w:val="20"/>
        </w:rPr>
        <w:t>nebude</w:t>
      </w:r>
      <w:r>
        <w:rPr>
          <w:spacing w:val="65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7"/>
        </w:numPr>
        <w:tabs>
          <w:tab w:pos="742" w:val="left" w:leader="none"/>
        </w:tabs>
        <w:spacing w:line="240" w:lineRule="auto" w:before="121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7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spacing w:before="1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1306" w:right="1037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>
          <w:spacing w:val="-2"/>
        </w:rPr>
        <w:t>bezdlužnosti</w:t>
      </w:r>
    </w:p>
    <w:p>
      <w:pPr>
        <w:pStyle w:val="BodyText"/>
        <w:spacing w:before="3"/>
        <w:ind w:left="0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37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Příjemce podpory podpisem této Smlouvy prohlašuje, že plní podmínky pro poskytnutí dotace, stanovené v čl. 13 bodu 13.1 písm. f) Výzvy.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přijetí podpory dle této Smlouvy považováno za neoprávněné použití finančních prostředků poskytnutých ze státního fondu ve smyslu zákona č. 218/2000 Sb., o rozpočtových pravidlech a o změně některých souvisejících zákonů (rozpočtová pravidla), v platném znění, a že mohou být uplatněny odvody podle tohoto zákona.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</w:pPr>
      <w:r>
        <w:rPr>
          <w:spacing w:val="-4"/>
        </w:rPr>
        <w:t>VII.</w:t>
      </w:r>
    </w:p>
    <w:p>
      <w:pPr>
        <w:pStyle w:val="Heading2"/>
        <w:spacing w:before="1"/>
        <w:ind w:left="130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21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00" w:after="0"/>
        <w:ind w:left="665" w:right="0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1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1" w:lineRule="auto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100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2"/>
        <w:spacing w:line="261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1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398" w:top="1260" w:bottom="1660" w:left="1320" w:right="1020"/>
        </w:sectPr>
      </w:pPr>
    </w:p>
    <w:p>
      <w:pPr>
        <w:pStyle w:val="Heading1"/>
        <w:numPr>
          <w:ilvl w:val="0"/>
          <w:numId w:val="10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 w:after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309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37" w:lineRule="auto" w:before="3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line="237" w:lineRule="auto" w:before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3"/>
        <w:ind w:left="0"/>
        <w:rPr>
          <w:b/>
          <w:sz w:val="29"/>
        </w:rPr>
      </w:pPr>
      <w:r>
        <w:rPr/>
        <w:pict>
          <v:rect style="position:absolute;margin-left:85.103996pt;margin-top:20.68001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85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10"/>
        <w:ind w:left="0"/>
        <w:rPr>
          <w:sz w:val="16"/>
        </w:rPr>
      </w:pPr>
      <w:r>
        <w:rPr/>
        <w:pict>
          <v:rect style="position:absolute;margin-left:85.103996pt;margin-top:12.38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31"/>
              <w:rPr>
                <w:sz w:val="20"/>
              </w:rPr>
            </w:pPr>
            <w:r>
              <w:rPr>
                <w:sz w:val="20"/>
              </w:rPr>
              <w:t>souladu jeho postupu podle článku IV bodu 2 </w:t>
            </w:r>
            <w:r>
              <w:rPr>
                <w:sz w:val="22"/>
              </w:rPr>
              <w:t>písm. j),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708" w:footer="1398" w:top="12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928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23104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0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4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300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00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00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00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00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10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2025-01-21T08:59:33Z</dcterms:created>
  <dcterms:modified xsi:type="dcterms:W3CDTF">2025-01-21T08:59:33Z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2025-01-21T00:00:00Z</vt:filetime>
  </property>
</Properties>
</file>