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22045" w14:textId="77777777" w:rsidR="001E6910" w:rsidRDefault="004A265E">
      <w:pPr>
        <w:tabs>
          <w:tab w:val="center" w:pos="4186"/>
        </w:tabs>
        <w:spacing w:after="72" w:line="259" w:lineRule="auto"/>
        <w:ind w:left="0" w:firstLine="0"/>
        <w:jc w:val="left"/>
      </w:pPr>
      <w:r>
        <w:rPr>
          <w:b/>
          <w:sz w:val="35"/>
        </w:rPr>
        <w:t>Pojistná smlouva č.</w:t>
      </w:r>
      <w:r>
        <w:rPr>
          <w:b/>
          <w:sz w:val="35"/>
        </w:rPr>
        <w:tab/>
        <w:t>8068923315</w:t>
      </w:r>
    </w:p>
    <w:p w14:paraId="62ECDCD1" w14:textId="77777777" w:rsidR="001E6910" w:rsidRDefault="004A265E">
      <w:pPr>
        <w:spacing w:after="288" w:line="262" w:lineRule="auto"/>
        <w:ind w:left="-5"/>
        <w:jc w:val="left"/>
      </w:pPr>
      <w:r>
        <w:rPr>
          <w:sz w:val="19"/>
        </w:rPr>
        <w:t>Smluvní strany:</w:t>
      </w:r>
    </w:p>
    <w:p w14:paraId="33E03164" w14:textId="77777777" w:rsidR="001E6910" w:rsidRDefault="004A265E">
      <w:pPr>
        <w:pStyle w:val="Nadpis1"/>
        <w:ind w:left="0"/>
      </w:pPr>
      <w:r>
        <w:t>ČSOB Pojišťovna, a. s., člen holdingu ČSOB</w:t>
      </w:r>
    </w:p>
    <w:p w14:paraId="3AD39FA5" w14:textId="77777777" w:rsidR="001E6910" w:rsidRDefault="004A265E">
      <w:pPr>
        <w:spacing w:after="5" w:line="262" w:lineRule="auto"/>
        <w:ind w:left="-5"/>
        <w:jc w:val="left"/>
      </w:pPr>
      <w:r>
        <w:rPr>
          <w:sz w:val="19"/>
        </w:rPr>
        <w:t xml:space="preserve">Sídlo: Masarykovo náměstí 1458, </w:t>
      </w:r>
      <w:proofErr w:type="gramStart"/>
      <w:r>
        <w:rPr>
          <w:sz w:val="19"/>
        </w:rPr>
        <w:t>Zelené</w:t>
      </w:r>
      <w:proofErr w:type="gramEnd"/>
      <w:r>
        <w:rPr>
          <w:sz w:val="19"/>
        </w:rPr>
        <w:t xml:space="preserve"> předměstí 530 02 Pardubice</w:t>
      </w:r>
    </w:p>
    <w:p w14:paraId="63A0605F" w14:textId="77777777" w:rsidR="001E6910" w:rsidRDefault="004A265E">
      <w:pPr>
        <w:spacing w:after="5" w:line="262" w:lineRule="auto"/>
        <w:ind w:left="-5"/>
        <w:jc w:val="left"/>
      </w:pPr>
      <w:r>
        <w:rPr>
          <w:sz w:val="19"/>
        </w:rPr>
        <w:t>IČO: 45534306</w:t>
      </w:r>
    </w:p>
    <w:p w14:paraId="1A9DF7C7" w14:textId="77777777" w:rsidR="001E6910" w:rsidRDefault="004A265E">
      <w:pPr>
        <w:spacing w:after="5" w:line="262" w:lineRule="auto"/>
        <w:ind w:left="-5"/>
        <w:jc w:val="left"/>
      </w:pPr>
      <w:r>
        <w:rPr>
          <w:sz w:val="19"/>
        </w:rPr>
        <w:t>Zápis v obchodním rejstříku: Krajský soud v Hradci Králové, oddíl B, vložka 567</w:t>
      </w:r>
    </w:p>
    <w:p w14:paraId="393749E9" w14:textId="77777777" w:rsidR="001E6910" w:rsidRDefault="004A265E">
      <w:pPr>
        <w:spacing w:after="5" w:line="262" w:lineRule="auto"/>
        <w:ind w:left="-5"/>
        <w:jc w:val="left"/>
      </w:pPr>
      <w:r>
        <w:rPr>
          <w:sz w:val="19"/>
        </w:rPr>
        <w:t xml:space="preserve">(dále jen "pojistitel") </w:t>
      </w:r>
    </w:p>
    <w:p w14:paraId="191B4777" w14:textId="0D6AB1EB" w:rsidR="001E6910" w:rsidRDefault="004A265E">
      <w:pPr>
        <w:spacing w:after="5" w:line="539" w:lineRule="auto"/>
        <w:ind w:left="-5" w:right="4949"/>
        <w:jc w:val="left"/>
      </w:pPr>
      <w:r>
        <w:rPr>
          <w:sz w:val="19"/>
        </w:rPr>
        <w:t xml:space="preserve">jednající: </w:t>
      </w:r>
      <w:r w:rsidR="00AC52A4">
        <w:rPr>
          <w:sz w:val="19"/>
        </w:rPr>
        <w:t>XXXXXXX</w:t>
      </w:r>
      <w:r>
        <w:rPr>
          <w:sz w:val="19"/>
        </w:rPr>
        <w:t xml:space="preserve">, </w:t>
      </w:r>
      <w:proofErr w:type="spellStart"/>
      <w:r>
        <w:rPr>
          <w:sz w:val="19"/>
        </w:rPr>
        <w:t>key</w:t>
      </w:r>
      <w:proofErr w:type="spellEnd"/>
      <w:r>
        <w:rPr>
          <w:sz w:val="19"/>
        </w:rPr>
        <w:t xml:space="preserve"> </w:t>
      </w:r>
      <w:proofErr w:type="spellStart"/>
      <w:r>
        <w:rPr>
          <w:sz w:val="19"/>
        </w:rPr>
        <w:t>accoun</w:t>
      </w:r>
      <w:r w:rsidR="00AC52A4">
        <w:rPr>
          <w:sz w:val="19"/>
        </w:rPr>
        <w:t>t</w:t>
      </w:r>
      <w:proofErr w:type="spellEnd"/>
      <w:r w:rsidR="00AC52A4">
        <w:rPr>
          <w:sz w:val="19"/>
        </w:rPr>
        <w:t xml:space="preserve"> </w:t>
      </w:r>
      <w:r>
        <w:rPr>
          <w:sz w:val="19"/>
        </w:rPr>
        <w:t>manager a</w:t>
      </w:r>
    </w:p>
    <w:p w14:paraId="46914F36" w14:textId="77777777" w:rsidR="001E6910" w:rsidRDefault="004A265E">
      <w:pPr>
        <w:pStyle w:val="Nadpis1"/>
        <w:ind w:left="0"/>
      </w:pPr>
      <w:r>
        <w:t xml:space="preserve">Mezinárodní testování </w:t>
      </w:r>
      <w:proofErr w:type="spellStart"/>
      <w:proofErr w:type="gramStart"/>
      <w:r>
        <w:t>drůbeže,státní</w:t>
      </w:r>
      <w:proofErr w:type="spellEnd"/>
      <w:proofErr w:type="gramEnd"/>
      <w:r>
        <w:t xml:space="preserve"> podnik</w:t>
      </w:r>
    </w:p>
    <w:p w14:paraId="4F98A02F" w14:textId="77777777" w:rsidR="001E6910" w:rsidRDefault="004A265E">
      <w:pPr>
        <w:spacing w:after="5" w:line="262" w:lineRule="auto"/>
        <w:ind w:left="-5"/>
        <w:jc w:val="left"/>
      </w:pPr>
      <w:r>
        <w:rPr>
          <w:sz w:val="19"/>
        </w:rPr>
        <w:t>Sídlo: Ústrašice 63, 390 02 Tábor</w:t>
      </w:r>
    </w:p>
    <w:p w14:paraId="2D46158C" w14:textId="77777777" w:rsidR="001E6910" w:rsidRDefault="004A265E">
      <w:pPr>
        <w:spacing w:after="5" w:line="262" w:lineRule="auto"/>
        <w:ind w:left="-5"/>
        <w:jc w:val="left"/>
      </w:pPr>
      <w:r>
        <w:rPr>
          <w:sz w:val="19"/>
        </w:rPr>
        <w:t>IČO: 43833560</w:t>
      </w:r>
    </w:p>
    <w:p w14:paraId="74B579F7" w14:textId="77777777" w:rsidR="001E6910" w:rsidRDefault="004A265E">
      <w:pPr>
        <w:spacing w:after="377" w:line="352" w:lineRule="auto"/>
        <w:ind w:left="-5" w:right="2958"/>
        <w:jc w:val="left"/>
      </w:pPr>
      <w:r>
        <w:rPr>
          <w:sz w:val="19"/>
        </w:rPr>
        <w:t xml:space="preserve">Zápis v obchodním rejstříku: (dále jen "pojistník") jednající: Ing. Jan Tyl, ředitel uzavírají tuto pojistnou smlouvu (zemědělské </w:t>
      </w:r>
      <w:proofErr w:type="gramStart"/>
      <w:r>
        <w:rPr>
          <w:sz w:val="19"/>
        </w:rPr>
        <w:t>pojištění - pojištění</w:t>
      </w:r>
      <w:proofErr w:type="gramEnd"/>
      <w:r>
        <w:rPr>
          <w:sz w:val="19"/>
        </w:rPr>
        <w:t xml:space="preserve"> zvířat)</w:t>
      </w:r>
    </w:p>
    <w:p w14:paraId="7114FE53" w14:textId="77777777" w:rsidR="001E6910" w:rsidRDefault="004A265E">
      <w:pPr>
        <w:spacing w:after="0" w:line="259" w:lineRule="auto"/>
        <w:ind w:right="41"/>
        <w:jc w:val="center"/>
      </w:pPr>
      <w:r>
        <w:rPr>
          <w:b/>
          <w:i/>
          <w:sz w:val="26"/>
        </w:rPr>
        <w:t>Článek I.</w:t>
      </w:r>
    </w:p>
    <w:p w14:paraId="4D6DB142" w14:textId="77777777" w:rsidR="001E6910" w:rsidRDefault="004A265E">
      <w:pPr>
        <w:pStyle w:val="Nadpis2"/>
      </w:pPr>
      <w:r>
        <w:t>Úvodní ustanovení</w:t>
      </w:r>
    </w:p>
    <w:p w14:paraId="04361B9A" w14:textId="77777777" w:rsidR="001E6910" w:rsidRDefault="004A265E">
      <w:pPr>
        <w:spacing w:after="256"/>
        <w:ind w:left="19"/>
      </w:pPr>
      <w:r>
        <w:t xml:space="preserve">Smluvní strany uzavírají tuto pojistnou smlouvu podle zákona č. 89/2012 Sb., občanský zákoník, ve znění pozdějších předpisů (dále jen „občanský zákoník"). </w:t>
      </w:r>
    </w:p>
    <w:p w14:paraId="2ACDA8A1" w14:textId="77777777" w:rsidR="001E6910" w:rsidRDefault="004A265E">
      <w:pPr>
        <w:spacing w:after="247"/>
        <w:ind w:left="19"/>
      </w:pPr>
      <w:r>
        <w:t xml:space="preserve">Zemědělské pojištění – pojištění zvířat se řídí Všeobecnými pojistnými podmínkami – obecná část VPP OC 2014 (dále jen "VPP OC 2014") a Všeobecnými pojistnými </w:t>
      </w:r>
      <w:proofErr w:type="gramStart"/>
      <w:r>
        <w:t>podmínkami - zvláštní</w:t>
      </w:r>
      <w:proofErr w:type="gramEnd"/>
      <w:r>
        <w:t xml:space="preserve"> část Zemědělské pojištění – pojištění zvířat VPP ZEM-ZV 2014 (dále jen „VPP ZEM-ZV 2014“), které jsou jako přílohy č. 1 a 2 nedílnou součástí této pojistné smlouvy.</w:t>
      </w:r>
    </w:p>
    <w:p w14:paraId="2ECAFF7B" w14:textId="77777777" w:rsidR="001E6910" w:rsidRDefault="004A265E">
      <w:pPr>
        <w:spacing w:after="479"/>
        <w:ind w:left="19"/>
      </w:pPr>
      <w:r>
        <w:t xml:space="preserve">Pojištěným v pojištění zvířat sjednaném touto pojistnou smlouvou je vždy vlastník věci, na nějž se pojištění sjednané touto pojistnou smlouvu vztahuje, k okamžiku počátku pojištění. </w:t>
      </w:r>
    </w:p>
    <w:p w14:paraId="3CB7E71A" w14:textId="77777777" w:rsidR="001E6910" w:rsidRDefault="004A265E">
      <w:pPr>
        <w:spacing w:after="0" w:line="259" w:lineRule="auto"/>
        <w:ind w:right="42"/>
        <w:jc w:val="center"/>
      </w:pPr>
      <w:r>
        <w:rPr>
          <w:b/>
          <w:i/>
          <w:sz w:val="26"/>
        </w:rPr>
        <w:t>Článek II.</w:t>
      </w:r>
    </w:p>
    <w:p w14:paraId="7629ACFB" w14:textId="77777777" w:rsidR="001E6910" w:rsidRDefault="004A265E">
      <w:pPr>
        <w:pStyle w:val="Nadpis2"/>
        <w:ind w:right="33"/>
      </w:pPr>
      <w:r>
        <w:t>Předmět a rozsah pojištění</w:t>
      </w:r>
    </w:p>
    <w:p w14:paraId="37DDFF89" w14:textId="77777777" w:rsidR="001E6910" w:rsidRDefault="004A265E">
      <w:pPr>
        <w:pStyle w:val="Nadpis3"/>
        <w:ind w:left="-5"/>
      </w:pPr>
      <w:r>
        <w:t>Předmět pojištění</w:t>
      </w:r>
    </w:p>
    <w:p w14:paraId="5AA10967" w14:textId="77777777" w:rsidR="001E6910" w:rsidRDefault="004A265E">
      <w:pPr>
        <w:spacing w:after="259"/>
        <w:ind w:left="19"/>
      </w:pPr>
      <w:r>
        <w:t>Touto pojistnou smlouvou se sjednává pojištění zvířat v rozsahu dle VPP ZEM-ZV 2014 a v rozsahu dle přehledu zvířat který je jako příloha č. 3 nedílnou součástí této pojistné smlouvy.</w:t>
      </w:r>
    </w:p>
    <w:p w14:paraId="6EF29E10" w14:textId="77777777" w:rsidR="001E6910" w:rsidRDefault="004A265E">
      <w:pPr>
        <w:ind w:left="19"/>
      </w:pPr>
      <w:r>
        <w:t xml:space="preserve">Jednotlivé předměty pojištění (druhy pojištěných zvířat), včetně všech pojistně-technických parametrů pojištění vztahujících se k danému předmětu pojištění (zejména spoluúčast oprávněné osoby a její výše, pojistná částka vztahující se k danému druhu pojištěných zvířat výše běžného pojistného vztahující se k danému druhu pojištěných zvířat, konkrétní volitelný rozsah pojištění z pohledu pojistných nebezpečí, proti kterým je pojištění daného druhu pojištěných zvířat sjednáno, případná délka prvního pojistného období odlišná od roční délky pojistného období sjednané jinak touto pojistnou smlouvu, sjednané místo pojištění apod.) jsou specifikovány v přehledu zvířat, který je jako příloha č. 3 nedílnou součástí této pojistné smlouvy (dále také jen „přehled zvířat“). </w:t>
      </w:r>
    </w:p>
    <w:p w14:paraId="6CA6D05C" w14:textId="77777777" w:rsidR="001E6910" w:rsidRDefault="004A265E">
      <w:pPr>
        <w:ind w:left="19"/>
      </w:pPr>
      <w:r>
        <w:t>Označením kategorie pojistných nebezpečí ve smyslu VPP ZEM-ZV 2014 čl. III až VIII křížkem „x“ ve sloupcích</w:t>
      </w:r>
    </w:p>
    <w:p w14:paraId="56943FB3" w14:textId="77777777" w:rsidR="001E6910" w:rsidRDefault="004A265E">
      <w:pPr>
        <w:spacing w:after="481"/>
        <w:ind w:left="19"/>
      </w:pPr>
      <w:r>
        <w:t>„kategorie pojistných nebezpečí“ u příslušného předmětu pojištění (druhu zvířat) v přehledu zvířat se sjednává pojištění uvedených zvířat v rozsahu označených kategorií pojistných nebezpečí.</w:t>
      </w:r>
    </w:p>
    <w:p w14:paraId="105C8D9F" w14:textId="77777777" w:rsidR="001E6910" w:rsidRDefault="004A265E">
      <w:pPr>
        <w:pStyle w:val="Nadpis3"/>
        <w:ind w:left="-5"/>
      </w:pPr>
      <w:r>
        <w:t>Pojistná částka</w:t>
      </w:r>
    </w:p>
    <w:p w14:paraId="49B1CD33" w14:textId="77777777" w:rsidR="001E6910" w:rsidRDefault="004A265E">
      <w:pPr>
        <w:ind w:left="19"/>
      </w:pPr>
      <w:r>
        <w:t>Pojištění se sjednává na pojistnou částku sjednanou pro každý jednotlivý pojištěný předmět pojištění (druh zvířat)</w:t>
      </w:r>
    </w:p>
    <w:p w14:paraId="4519FF75" w14:textId="77777777" w:rsidR="001E6910" w:rsidRDefault="004A265E">
      <w:pPr>
        <w:spacing w:after="460"/>
        <w:ind w:left="19"/>
      </w:pPr>
      <w:r>
        <w:lastRenderedPageBreak/>
        <w:t>Pojistná částka je specifikována u každého jednotlivého předmětu pojištění v přehledu zvířat. Pojistná částka se vypočte jako součin předpokládané ceny jednoho kusu pojištěného zvířete, počtu kusů a počtu turnusů jednotlivého druhu chovaných zvířat. Pojistitel a pojistník podpisem a uzavřením této pojistné smlouvy výslovně stvrzují, že konkrétní hodnotu všech jednotlivých parametrů použitých k určení pojistné částky způsobem dle předchozích vět tohoto odstavce pojistné smlouvy a konkrétní hodnotu samotné pojistné částky vztahující se ke každému jednotlivému předmětu pojištění stanovil v předsmluvní fázi před uzavřením této pojistné smlouvy sám a bez jakéhokoliv vlivu pojistitele pouze a jen pojistník a pojistníkem stanovené konkrétní hodnoty pojistné částky jsou pak obsahem této pojistné smlouvy.</w:t>
      </w:r>
    </w:p>
    <w:p w14:paraId="116A14DB" w14:textId="77777777" w:rsidR="001E6910" w:rsidRDefault="004A265E">
      <w:pPr>
        <w:pStyle w:val="Nadpis3"/>
        <w:ind w:left="-5"/>
      </w:pPr>
      <w:r>
        <w:t>Místo pojištění</w:t>
      </w:r>
    </w:p>
    <w:p w14:paraId="2DAED7DF" w14:textId="77777777" w:rsidR="001E6910" w:rsidRDefault="004A265E">
      <w:pPr>
        <w:spacing w:after="373"/>
        <w:ind w:left="19"/>
      </w:pPr>
      <w:r>
        <w:t>Pojištění se vztahuje na pojistné události, které během trvání pojištění nastanou na pojištěném druhu zvířat chovaném v místě pojištění specifikovaném touto pojistnou smlouvou, případně jejími přílohami.</w:t>
      </w:r>
    </w:p>
    <w:p w14:paraId="279C5656" w14:textId="77777777" w:rsidR="001E6910" w:rsidRDefault="004A265E">
      <w:pPr>
        <w:spacing w:after="0" w:line="259" w:lineRule="auto"/>
        <w:ind w:right="42"/>
        <w:jc w:val="center"/>
      </w:pPr>
      <w:r>
        <w:rPr>
          <w:b/>
          <w:i/>
          <w:sz w:val="26"/>
        </w:rPr>
        <w:t>Článek III.</w:t>
      </w:r>
    </w:p>
    <w:p w14:paraId="33A8F04B" w14:textId="77777777" w:rsidR="001E6910" w:rsidRDefault="004A265E">
      <w:pPr>
        <w:pStyle w:val="Nadpis2"/>
      </w:pPr>
      <w:r>
        <w:t>Pojistná doba a pojistné období</w:t>
      </w:r>
    </w:p>
    <w:p w14:paraId="731738EC" w14:textId="77777777" w:rsidR="001E6910" w:rsidRDefault="004A265E">
      <w:pPr>
        <w:spacing w:after="4" w:line="259" w:lineRule="auto"/>
        <w:ind w:left="-5"/>
        <w:jc w:val="left"/>
      </w:pPr>
      <w:r>
        <w:rPr>
          <w:b/>
          <w:sz w:val="19"/>
        </w:rPr>
        <w:t xml:space="preserve">Pojistná doba </w:t>
      </w:r>
    </w:p>
    <w:p w14:paraId="5CEFA11B" w14:textId="77777777" w:rsidR="001E6910" w:rsidRDefault="004A265E">
      <w:pPr>
        <w:spacing w:after="192"/>
        <w:ind w:left="19"/>
      </w:pPr>
      <w:r>
        <w:t>Pojištění se sjednává na dobu neurčitou s automatickou prolongací.</w:t>
      </w:r>
    </w:p>
    <w:p w14:paraId="70046DE2" w14:textId="77777777" w:rsidR="001E6910" w:rsidRDefault="004A265E">
      <w:pPr>
        <w:pStyle w:val="Nadpis3"/>
        <w:ind w:left="-5"/>
      </w:pPr>
      <w:r>
        <w:t>Pojistné období</w:t>
      </w:r>
    </w:p>
    <w:p w14:paraId="74F87893" w14:textId="77777777" w:rsidR="001E6910" w:rsidRDefault="004A265E">
      <w:pPr>
        <w:spacing w:after="251"/>
        <w:ind w:left="19"/>
      </w:pPr>
      <w:proofErr w:type="gramStart"/>
      <w:r>
        <w:t>Odchylně  od</w:t>
      </w:r>
      <w:proofErr w:type="gramEnd"/>
      <w:r>
        <w:t xml:space="preserve"> ustanovení § 2783 odst. 2 občanského zákoníku pojistitel a pojistník sjednávají délku </w:t>
      </w:r>
    </w:p>
    <w:p w14:paraId="7B369ACE" w14:textId="77777777" w:rsidR="001E6910" w:rsidRDefault="004A265E">
      <w:pPr>
        <w:numPr>
          <w:ilvl w:val="0"/>
          <w:numId w:val="1"/>
        </w:numPr>
        <w:spacing w:after="238" w:line="283" w:lineRule="auto"/>
        <w:jc w:val="left"/>
      </w:pPr>
      <w:r>
        <w:t>prvního pojistného období ve všech pojištěních sjednaných touto pojistnou smlouvou na období specifikované v přehledu zvířat s tím, že den počátku prvního pojistného období se shoduje se dnem počátku každého jednotlivého pojištění sjednaného touto pojistnou smlouvou,</w:t>
      </w:r>
    </w:p>
    <w:p w14:paraId="78DDD754" w14:textId="77777777" w:rsidR="001E6910" w:rsidRDefault="004A265E">
      <w:pPr>
        <w:numPr>
          <w:ilvl w:val="0"/>
          <w:numId w:val="1"/>
        </w:numPr>
        <w:spacing w:after="476"/>
        <w:jc w:val="left"/>
      </w:pPr>
      <w:r>
        <w:t>druhého a každého dalšího pojistného období ve všech pojištěních sjednaných touto pojistnou smlouvou na 12 kalendářních měsíců s tím, že den počátku druhého a každého dalšího pojistného období se shoduje se dnem, který se svým číselným označením dne a měsíce shoduje se dnem bezprostředně nejblíže následujícím po skončení prvního pojistného období.</w:t>
      </w:r>
    </w:p>
    <w:p w14:paraId="719AB383" w14:textId="77777777" w:rsidR="001E6910" w:rsidRDefault="004A265E">
      <w:pPr>
        <w:spacing w:after="0" w:line="259" w:lineRule="auto"/>
        <w:ind w:right="42"/>
        <w:jc w:val="center"/>
      </w:pPr>
      <w:r>
        <w:rPr>
          <w:b/>
          <w:i/>
          <w:sz w:val="26"/>
        </w:rPr>
        <w:t>Článek IV.</w:t>
      </w:r>
    </w:p>
    <w:p w14:paraId="56E5AE7C" w14:textId="77777777" w:rsidR="001E6910" w:rsidRDefault="004A265E">
      <w:pPr>
        <w:pStyle w:val="Nadpis2"/>
        <w:ind w:right="34"/>
      </w:pPr>
      <w:r>
        <w:t>Pojistné a jeho úhrada</w:t>
      </w:r>
    </w:p>
    <w:p w14:paraId="4463BBAA" w14:textId="77777777" w:rsidR="001E6910" w:rsidRDefault="004A265E">
      <w:pPr>
        <w:spacing w:after="311"/>
        <w:ind w:left="19"/>
      </w:pPr>
      <w:r>
        <w:t>Ve smyslu občanského zákoníku pojistitel a pojistník sjednávají, že pojistné za všechna pojištění sjednaná touto pojistnou smlouvou je pojistným běžným. Výše pojistného za jednotlivé druhy pojištění a celkové pojistné za všechna pojištění sjednaná touto pojistnou smlouvou, splátky pojistného a způsob úhrady pojistného jsou uvedeny v přehledu zvířat.</w:t>
      </w:r>
    </w:p>
    <w:p w14:paraId="412342D2" w14:textId="77777777" w:rsidR="001E6910" w:rsidRDefault="004A265E">
      <w:pPr>
        <w:spacing w:after="39"/>
        <w:ind w:left="19"/>
      </w:pPr>
      <w:r>
        <w:t>Pojistné specifikované v tomto článku pojistné smlouvy výše bude s právními účinky jeho zaplacení pojistiteli pojistníkem hrazeno na účet pojišťovacího makléře, vykonávajícího zprostředkovatelskou činnost v pojišťovnictví</w:t>
      </w:r>
    </w:p>
    <w:tbl>
      <w:tblPr>
        <w:tblStyle w:val="TableGrid"/>
        <w:tblW w:w="8572" w:type="dxa"/>
        <w:tblInd w:w="-34" w:type="dxa"/>
        <w:tblCellMar>
          <w:top w:w="19" w:type="dxa"/>
          <w:right w:w="319" w:type="dxa"/>
        </w:tblCellMar>
        <w:tblLook w:val="04A0" w:firstRow="1" w:lastRow="0" w:firstColumn="1" w:lastColumn="0" w:noHBand="0" w:noVBand="1"/>
      </w:tblPr>
      <w:tblGrid>
        <w:gridCol w:w="2796"/>
        <w:gridCol w:w="1879"/>
        <w:gridCol w:w="3897"/>
      </w:tblGrid>
      <w:tr w:rsidR="001E6910" w14:paraId="07D74D54" w14:textId="77777777">
        <w:trPr>
          <w:trHeight w:val="737"/>
        </w:trPr>
        <w:tc>
          <w:tcPr>
            <w:tcW w:w="2854" w:type="dxa"/>
            <w:tcBorders>
              <w:top w:val="nil"/>
              <w:left w:val="nil"/>
              <w:bottom w:val="nil"/>
              <w:right w:val="nil"/>
            </w:tcBorders>
            <w:shd w:val="clear" w:color="auto" w:fill="BFBFBF"/>
          </w:tcPr>
          <w:p w14:paraId="00C758DF" w14:textId="77777777" w:rsidR="001E6910" w:rsidRDefault="004A265E">
            <w:pPr>
              <w:spacing w:after="0" w:line="259" w:lineRule="auto"/>
              <w:ind w:left="286" w:right="203" w:firstLine="0"/>
              <w:jc w:val="left"/>
            </w:pPr>
            <w:r>
              <w:rPr>
                <w:sz w:val="19"/>
              </w:rPr>
              <w:t>bankovní účet č.: variabilní symbol: konstantní symbol:</w:t>
            </w:r>
          </w:p>
        </w:tc>
        <w:tc>
          <w:tcPr>
            <w:tcW w:w="1716" w:type="dxa"/>
            <w:tcBorders>
              <w:top w:val="nil"/>
              <w:left w:val="nil"/>
              <w:bottom w:val="nil"/>
              <w:right w:val="nil"/>
            </w:tcBorders>
            <w:shd w:val="clear" w:color="auto" w:fill="BFBFBF"/>
          </w:tcPr>
          <w:p w14:paraId="7AA909AC" w14:textId="3FE49E2E" w:rsidR="001E6910" w:rsidRDefault="00AC52A4">
            <w:pPr>
              <w:spacing w:after="5" w:line="259" w:lineRule="auto"/>
              <w:ind w:left="0" w:firstLine="0"/>
              <w:jc w:val="left"/>
            </w:pPr>
            <w:r>
              <w:t>XXXXXXXXXXXX</w:t>
            </w:r>
          </w:p>
          <w:p w14:paraId="41CD63BC" w14:textId="77777777" w:rsidR="00AC52A4" w:rsidRDefault="00AC52A4">
            <w:pPr>
              <w:spacing w:after="0" w:line="259" w:lineRule="auto"/>
              <w:ind w:left="53" w:right="1" w:firstLine="0"/>
              <w:jc w:val="right"/>
              <w:rPr>
                <w:b/>
                <w:sz w:val="19"/>
              </w:rPr>
            </w:pPr>
            <w:r>
              <w:rPr>
                <w:b/>
                <w:sz w:val="19"/>
              </w:rPr>
              <w:t>XXXXXXX</w:t>
            </w:r>
          </w:p>
          <w:p w14:paraId="41E50133" w14:textId="6C3CB0BC" w:rsidR="001E6910" w:rsidRDefault="00AC52A4">
            <w:pPr>
              <w:spacing w:after="0" w:line="259" w:lineRule="auto"/>
              <w:ind w:left="53" w:right="1" w:firstLine="0"/>
              <w:jc w:val="right"/>
            </w:pPr>
            <w:r>
              <w:rPr>
                <w:sz w:val="19"/>
              </w:rPr>
              <w:t>XXXX</w:t>
            </w:r>
          </w:p>
        </w:tc>
        <w:tc>
          <w:tcPr>
            <w:tcW w:w="4002" w:type="dxa"/>
            <w:tcBorders>
              <w:top w:val="nil"/>
              <w:left w:val="nil"/>
              <w:bottom w:val="nil"/>
              <w:right w:val="nil"/>
            </w:tcBorders>
            <w:shd w:val="clear" w:color="auto" w:fill="BFBFBF"/>
          </w:tcPr>
          <w:p w14:paraId="096BCE55" w14:textId="4564BF8A" w:rsidR="001E6910" w:rsidRDefault="004A265E">
            <w:pPr>
              <w:spacing w:after="0" w:line="259" w:lineRule="auto"/>
              <w:ind w:left="0" w:firstLine="0"/>
              <w:jc w:val="left"/>
            </w:pPr>
            <w:r>
              <w:t>vedený u</w:t>
            </w:r>
            <w:r w:rsidR="00AC52A4">
              <w:t xml:space="preserve"> XXXXXXXXXXX</w:t>
            </w:r>
          </w:p>
        </w:tc>
      </w:tr>
    </w:tbl>
    <w:p w14:paraId="69BE36B3" w14:textId="77777777" w:rsidR="001E6910" w:rsidRDefault="004A265E">
      <w:pPr>
        <w:spacing w:after="0" w:line="259" w:lineRule="auto"/>
        <w:ind w:right="41"/>
        <w:jc w:val="center"/>
      </w:pPr>
      <w:r>
        <w:rPr>
          <w:b/>
          <w:i/>
          <w:sz w:val="26"/>
        </w:rPr>
        <w:t>Článek V.</w:t>
      </w:r>
    </w:p>
    <w:p w14:paraId="41457128" w14:textId="77777777" w:rsidR="001E6910" w:rsidRDefault="004A265E">
      <w:pPr>
        <w:pStyle w:val="Nadpis2"/>
      </w:pPr>
      <w:r>
        <w:t>Práva a povinnosti</w:t>
      </w:r>
    </w:p>
    <w:p w14:paraId="2012D63D" w14:textId="77777777" w:rsidR="001E6910" w:rsidRDefault="004A265E">
      <w:pPr>
        <w:spacing w:after="496"/>
        <w:ind w:left="19"/>
      </w:pPr>
      <w:r>
        <w:t>Pojistitel a pojistník výslovně sjednávají, že ode dne doručení písemných informací pojistníka pojistiteli spolu zahájí bez zbytečného odkladu jednání směřující k uzavření dohody o změně této pojistné smlouvy, tak aby obsah této pojistné smlouvy po její případné změně odpovídal skutečným aktuálním informacím doručeným pojistníkem pojistiteli.</w:t>
      </w:r>
    </w:p>
    <w:p w14:paraId="0DB19950" w14:textId="77777777" w:rsidR="001E6910" w:rsidRDefault="004A265E">
      <w:pPr>
        <w:spacing w:after="0" w:line="259" w:lineRule="auto"/>
        <w:ind w:right="41"/>
        <w:jc w:val="center"/>
      </w:pPr>
      <w:r>
        <w:rPr>
          <w:b/>
          <w:i/>
          <w:sz w:val="26"/>
        </w:rPr>
        <w:t>Článek VI.</w:t>
      </w:r>
    </w:p>
    <w:p w14:paraId="7153398C" w14:textId="77777777" w:rsidR="001E6910" w:rsidRDefault="004A265E">
      <w:pPr>
        <w:pStyle w:val="Nadpis2"/>
        <w:ind w:right="34"/>
      </w:pPr>
      <w:r>
        <w:lastRenderedPageBreak/>
        <w:t>Oznámení škodných událostí</w:t>
      </w:r>
    </w:p>
    <w:p w14:paraId="20D3A580" w14:textId="77777777" w:rsidR="001E6910" w:rsidRDefault="004A265E">
      <w:pPr>
        <w:spacing w:after="239"/>
        <w:ind w:left="19"/>
      </w:pPr>
      <w:r>
        <w:t>Vznik škodné události je účastník pojištění podle ustanovení § 2796 občanského zákoníku povinen oznámit ve lhůtě dle VPP ZEM – ZV 2014 pojistiteli:</w:t>
      </w:r>
    </w:p>
    <w:p w14:paraId="7280D9DE" w14:textId="77777777" w:rsidR="001E6910" w:rsidRDefault="004A265E">
      <w:pPr>
        <w:numPr>
          <w:ilvl w:val="0"/>
          <w:numId w:val="2"/>
        </w:numPr>
        <w:ind w:hanging="201"/>
      </w:pPr>
      <w:r>
        <w:t xml:space="preserve">emailem na adresu: zemedelstvi@csobpoj.cz </w:t>
      </w:r>
      <w:r>
        <w:rPr>
          <w:b/>
        </w:rPr>
        <w:t>(doporučeno)</w:t>
      </w:r>
    </w:p>
    <w:p w14:paraId="54330698" w14:textId="77777777" w:rsidR="001E6910" w:rsidRDefault="004A265E">
      <w:pPr>
        <w:numPr>
          <w:ilvl w:val="0"/>
          <w:numId w:val="2"/>
        </w:numPr>
        <w:spacing w:after="458"/>
        <w:ind w:hanging="201"/>
      </w:pPr>
      <w:r>
        <w:t>na telefonní číslo: 466 100 777</w:t>
      </w:r>
    </w:p>
    <w:p w14:paraId="4490D341" w14:textId="77777777" w:rsidR="001E6910" w:rsidRDefault="004A265E">
      <w:pPr>
        <w:spacing w:after="0" w:line="259" w:lineRule="auto"/>
        <w:ind w:right="41"/>
        <w:jc w:val="center"/>
      </w:pPr>
      <w:r>
        <w:rPr>
          <w:b/>
          <w:i/>
          <w:sz w:val="26"/>
        </w:rPr>
        <w:t>Článek VII.</w:t>
      </w:r>
    </w:p>
    <w:p w14:paraId="03053CE2" w14:textId="77777777" w:rsidR="001E6910" w:rsidRDefault="004A265E">
      <w:pPr>
        <w:pStyle w:val="Nadpis2"/>
        <w:spacing w:after="182"/>
        <w:ind w:right="33"/>
      </w:pPr>
      <w:r>
        <w:t>Závěrečná ustanovení</w:t>
      </w:r>
    </w:p>
    <w:p w14:paraId="7AFD5C86" w14:textId="77777777" w:rsidR="001E6910" w:rsidRDefault="004A265E">
      <w:pPr>
        <w:ind w:left="19"/>
      </w:pPr>
      <w:r>
        <w:t>Elektronická komunikace</w:t>
      </w:r>
    </w:p>
    <w:p w14:paraId="64D38A40" w14:textId="77777777" w:rsidR="001E6910" w:rsidRDefault="004A265E">
      <w:pPr>
        <w:ind w:left="19"/>
      </w:pPr>
      <w:r>
        <w:t>V souladu s ustanoveními § 562, § 570 a násl. a § 2773 občanského zákoníku, pojistitel a pojistník výslovně deklarují, že veškerá písemná právní jednání týkající se pojištění mohou být učiněna také elektronickými prostředky.</w:t>
      </w:r>
    </w:p>
    <w:p w14:paraId="226B96B0" w14:textId="77777777" w:rsidR="001E6910" w:rsidRDefault="004A265E">
      <w:pPr>
        <w:spacing w:after="365"/>
        <w:ind w:left="19"/>
      </w:pPr>
      <w:r>
        <w:t>Na žádost pojistníka stvrzenou podpisem pojistné smlouvy, pojistitel a pojistník sjednávají, že právní jednání pojistitele adresovaná účastníkům pojištění a učiněná elektronickou poštou se považují za doručená, bez ohledu na to, zda se s jejich obsahem adresát skutečně seznámil, okamžikem, kdy byla doručena:</w:t>
      </w:r>
    </w:p>
    <w:p w14:paraId="1480A4D3" w14:textId="77777777" w:rsidR="001E6910" w:rsidRDefault="004A265E">
      <w:pPr>
        <w:numPr>
          <w:ilvl w:val="0"/>
          <w:numId w:val="3"/>
        </w:numPr>
        <w:ind w:hanging="235"/>
      </w:pPr>
      <w:r>
        <w:t>na e-mailovou adresu účastníka pojištění uvedenou v pojistné smlouvě,</w:t>
      </w:r>
    </w:p>
    <w:p w14:paraId="263FDFB0" w14:textId="77777777" w:rsidR="001E6910" w:rsidRDefault="004A265E">
      <w:pPr>
        <w:numPr>
          <w:ilvl w:val="0"/>
          <w:numId w:val="3"/>
        </w:numPr>
        <w:ind w:hanging="235"/>
      </w:pPr>
      <w:r>
        <w:t>na e-mailovou adresu účastníka pojištění sdělenou prokazatelně pojistiteli kdykoliv v době trvání pojištění, do datového prostoru v internetové aplikaci elektronického bankovnictví Československé obchodní banky, a.</w:t>
      </w:r>
    </w:p>
    <w:p w14:paraId="7B751CC7" w14:textId="77777777" w:rsidR="001E6910" w:rsidRDefault="004A265E">
      <w:pPr>
        <w:numPr>
          <w:ilvl w:val="0"/>
          <w:numId w:val="3"/>
        </w:numPr>
        <w:ind w:hanging="235"/>
      </w:pPr>
      <w:r>
        <w:t xml:space="preserve">s., přístupného účastníkovi pojištění z titulu jeho smluvního vztahu s Československou obchodní bankou, a. s., nebo </w:t>
      </w:r>
    </w:p>
    <w:p w14:paraId="56DE0730" w14:textId="77777777" w:rsidR="001E6910" w:rsidRDefault="004A265E">
      <w:pPr>
        <w:spacing w:after="490"/>
        <w:ind w:left="9" w:firstLine="235"/>
      </w:pPr>
      <w:r>
        <w:t>do datového prostoru v internetové aplikaci pojistitele „Online klientská zóna“ přístupné účastníkovi pojištění d) na internetové adrese pojistitele “www.csobpoj.cz“ z titulu uzavření pojistné smlouvy, jejíž jsou tyto pojistné podmínky nedílnou součástí.</w:t>
      </w:r>
    </w:p>
    <w:p w14:paraId="1EC690E2" w14:textId="77777777" w:rsidR="001E6910" w:rsidRDefault="004A265E">
      <w:pPr>
        <w:ind w:left="19"/>
      </w:pPr>
      <w:r>
        <w:t>Speciální ujednání o formě právních jednání týkajících se pojištění:</w:t>
      </w:r>
    </w:p>
    <w:p w14:paraId="42B0FCC7" w14:textId="77777777" w:rsidR="001E6910" w:rsidRDefault="004A265E">
      <w:pPr>
        <w:ind w:left="19"/>
      </w:pPr>
      <w:r>
        <w:t>V souladu s ustanovením § 1 odst. 2 občanského zákoníku pojistitel a pojistník výslovně sjednávají, že odchylně od ustanovení § 2773 občanského zákoníku mohou být zcela všechna právní jednání týkající se pojištění, bez ohledu na závažnost jejich obsahu a bez ohledu na právní důsledky s právním jednáním související, učiněná účastníky pojištění vedle písemné formy také v některé z následujících forem, respektive některým z následujících způsobů:</w:t>
      </w:r>
    </w:p>
    <w:p w14:paraId="1ADE2D7F" w14:textId="77777777" w:rsidR="001E6910" w:rsidRDefault="004A265E">
      <w:pPr>
        <w:numPr>
          <w:ilvl w:val="0"/>
          <w:numId w:val="4"/>
        </w:numPr>
        <w:ind w:hanging="235"/>
      </w:pPr>
      <w:r>
        <w:t>elektronickou poštou formou prostých e-mailových zpráv (tzn. e-mailových zpráv nevyžadujících opatření zaručeným elektronickým podpisem),</w:t>
      </w:r>
    </w:p>
    <w:p w14:paraId="58841463" w14:textId="77777777" w:rsidR="001E6910" w:rsidRDefault="004A265E">
      <w:pPr>
        <w:numPr>
          <w:ilvl w:val="0"/>
          <w:numId w:val="4"/>
        </w:numPr>
        <w:ind w:hanging="235"/>
      </w:pPr>
      <w:r>
        <w:t xml:space="preserve">ústně prostřednictvím telefonu; v takovém případě však výhradně prostřednictvím </w:t>
      </w:r>
    </w:p>
    <w:p w14:paraId="5E0EFD18" w14:textId="77777777" w:rsidR="001E6910" w:rsidRDefault="004A265E">
      <w:pPr>
        <w:numPr>
          <w:ilvl w:val="1"/>
          <w:numId w:val="4"/>
        </w:numPr>
        <w:ind w:hanging="111"/>
      </w:pPr>
      <w:r>
        <w:t xml:space="preserve">telefonního čísla pojistitele 466 100 777 nebo </w:t>
      </w:r>
    </w:p>
    <w:p w14:paraId="0010677A" w14:textId="77777777" w:rsidR="001E6910" w:rsidRDefault="004A265E">
      <w:pPr>
        <w:numPr>
          <w:ilvl w:val="1"/>
          <w:numId w:val="4"/>
        </w:numPr>
        <w:ind w:hanging="111"/>
      </w:pPr>
      <w:r>
        <w:t xml:space="preserve">jiných telefonních čísel pojistitele (nikoliv např. telefonních čísel pojišťovacího zprostředkovatele činného pro pojistitele) zveřejněných a určených pojistitelem k telefonní komunikaci s účastníky pojištění ve věci vzniku, změny či zániku pojištění nebo ve věci šetření škodných událostí, za podmínky, že o telefonních hovorech realizovaných prostřednictvím těchto telefonních čísel je pojistitelem pořizován zvukový záznam, o jehož pořízení je každá osoba volající na tato telefonní čísla hlasovým automatem pojistitele informována před zahájením zaznamenávaného telefonního hovoru,   </w:t>
      </w:r>
    </w:p>
    <w:p w14:paraId="105E5A10" w14:textId="77777777" w:rsidR="001E6910" w:rsidRDefault="004A265E">
      <w:pPr>
        <w:numPr>
          <w:ilvl w:val="0"/>
          <w:numId w:val="4"/>
        </w:numPr>
        <w:ind w:hanging="235"/>
      </w:pPr>
      <w:r>
        <w:t>elektronickými prostředky prostřednictvím internetové aplikace „Online klientská zóna“ (zřízené a provozované pojistitelem a dostupné účastníkovi pojištění na internetové adrese pojistitele www.csobpoj.cz) zabezpečeného internetového přístupu, k němuž účastník pojištění obdržel od pojistitele aktivační klíč (dále také jen „internetová aplikace").</w:t>
      </w:r>
    </w:p>
    <w:p w14:paraId="0EB1C7C5" w14:textId="77777777" w:rsidR="001E6910" w:rsidRDefault="004A265E">
      <w:pPr>
        <w:spacing w:after="525"/>
        <w:ind w:left="262"/>
      </w:pPr>
      <w:r>
        <w:t>Další ujednání a informace k formě právních jednání a oznámení týkajících se pojištění jsou uvedena ve všeobecných pojistných podmínkách, které jsou součásti této pojistné smlouvy.</w:t>
      </w:r>
    </w:p>
    <w:p w14:paraId="55499B4A" w14:textId="77777777" w:rsidR="001E6910" w:rsidRDefault="004A265E">
      <w:pPr>
        <w:ind w:left="19"/>
      </w:pPr>
      <w:r>
        <w:t>Prohlášení pojistníka</w:t>
      </w:r>
    </w:p>
    <w:p w14:paraId="03D73B8C" w14:textId="77777777" w:rsidR="001E6910" w:rsidRDefault="004A265E">
      <w:pPr>
        <w:spacing w:after="336"/>
        <w:ind w:left="19"/>
      </w:pPr>
      <w:r>
        <w:t>Prohlášení pojistníka, je-li pojistník fyzickou osobou: Prohlašuji a svým podpisem níže stvrzuji, že:</w:t>
      </w:r>
    </w:p>
    <w:p w14:paraId="73142D11" w14:textId="77777777" w:rsidR="001E6910" w:rsidRDefault="004A265E">
      <w:pPr>
        <w:ind w:left="237" w:hanging="228"/>
      </w:pPr>
      <w:r>
        <w:lastRenderedPageBreak/>
        <w:t>a) jsem byl před uzavřením pojistné smlouvy, zcela v souladu s ustanovením čl. 13 a čl. 14 Nařízení Evropského parlamentu a Rady (EU) č. 2016/679 ze dne 27. dubna 2016 o ochraně fyzických osob v souvislosti se zpracováním osobních údajů a o volném pohybu těchto údajů a o zrušení směrnice 95/46/ES (obecné nařízení o ochraně osobních údajů; dále jen „GDPR“), pojistitelem řádně a detailně (co do vysvětlení obsahu a významu všech jeho jednotlivých ustanovení) seznámen s Informacemi o zpracování osobních údajů (tzv. Informačním memorandem);</w:t>
      </w:r>
    </w:p>
    <w:p w14:paraId="6811E2C1" w14:textId="77777777" w:rsidR="001E6910" w:rsidRDefault="004A265E">
      <w:pPr>
        <w:ind w:left="9" w:firstLine="235"/>
      </w:pPr>
      <w:r>
        <w:t>seznámení s Informačním memorandem za pojistitele provedla právě ta konkrétní fyzická osoba, která za b) pojistitele podepsala tuto pojistnou smlouvu (přičemž adresátem uvedených informací může být pojišťovací makléř, coby pojišťovací zprostředkovatel zastupující pojistníka);</w:t>
      </w:r>
    </w:p>
    <w:p w14:paraId="1134F071" w14:textId="77777777" w:rsidR="001E6910" w:rsidRDefault="004A265E">
      <w:pPr>
        <w:ind w:left="9" w:firstLine="228"/>
      </w:pPr>
      <w:r>
        <w:t>po seznámení se s Informačním memorandem a před uzavřením pojistné smlouvy mně byl dán naprosto c) dostatečný časový prostor pro vlastní seznámení se s Informačním memorandem a pro zodpovězení všech mých případných dotazů k Informačnímu memorandu;</w:t>
      </w:r>
    </w:p>
    <w:p w14:paraId="36F8C8DD" w14:textId="77777777" w:rsidR="001E6910" w:rsidRDefault="004A265E">
      <w:pPr>
        <w:spacing w:after="789"/>
        <w:ind w:left="9" w:firstLine="235"/>
      </w:pPr>
      <w:r>
        <w:t xml:space="preserve">beru na vědomí a jsem srozuměn s informací pojistitele o tom, že Informační memorandum je a bude zájemci o d) </w:t>
      </w:r>
      <w:proofErr w:type="gramStart"/>
      <w:r>
        <w:t>pojištění</w:t>
      </w:r>
      <w:proofErr w:type="gramEnd"/>
      <w:r>
        <w:t xml:space="preserve"> resp. pojistníkovi a jinému účastníku pojištění k dispozici na internetových (webových) stránkách pojistitele na adrese www.csobpoj.cz nebo na vyžádání pojistníka u té konkrétní fyzické osoby, která jménem pojistitele podepsala tuto pojistnou smlouvu, anebo na kterémkoliv obchodním místě pojistitele.</w:t>
      </w:r>
    </w:p>
    <w:p w14:paraId="013E8767" w14:textId="77777777" w:rsidR="001E6910" w:rsidRDefault="004A265E">
      <w:pPr>
        <w:spacing w:after="176"/>
        <w:ind w:left="19"/>
      </w:pPr>
      <w:r>
        <w:t>Prohlašuji a svým podpisem níže stvrzuji, že:</w:t>
      </w:r>
    </w:p>
    <w:p w14:paraId="56DD27F9" w14:textId="77777777" w:rsidR="001E6910" w:rsidRDefault="004A265E">
      <w:pPr>
        <w:numPr>
          <w:ilvl w:val="0"/>
          <w:numId w:val="5"/>
        </w:numPr>
        <w:ind w:hanging="235"/>
      </w:pPr>
      <w:r>
        <w:t xml:space="preserve">jsem byl před uzavřením této pojistné smlouvy, zcela v souladu s ustanovením § 2774 občanského zákoníku, pojistitelem řádně a detailně (co do vysvětlení obsahu a významu všech jejich jednotlivých ustanovení) seznámen s </w:t>
      </w:r>
      <w:proofErr w:type="spellStart"/>
      <w:r>
        <w:t>Infolistem</w:t>
      </w:r>
      <w:proofErr w:type="spellEnd"/>
      <w:r>
        <w:t xml:space="preserve"> produktu, s Informačním dokumentem o pojistném produktu, s rozsahem pojištění a s všeobecnými pojistnými podmínkami (dále také jen "pojistné podmínky"), které jsou nedílnou součástí této pojistné smlouvy;</w:t>
      </w:r>
    </w:p>
    <w:p w14:paraId="7D536614" w14:textId="77777777" w:rsidR="001E6910" w:rsidRDefault="004A265E">
      <w:pPr>
        <w:numPr>
          <w:ilvl w:val="0"/>
          <w:numId w:val="5"/>
        </w:numPr>
        <w:spacing w:after="316"/>
        <w:ind w:hanging="235"/>
      </w:pPr>
      <w:r>
        <w:t>jsem byl před uzavřením této pojistné smlouvy podrobně seznámen se všemi vybranými ustanoveními pojistných podmínek zvlášť uvedenými v dokumentu „</w:t>
      </w:r>
      <w:proofErr w:type="spellStart"/>
      <w:r>
        <w:t>Infolist</w:t>
      </w:r>
      <w:proofErr w:type="spellEnd"/>
      <w:r>
        <w:t xml:space="preserve"> produktu“, která by mohla být považována za ustanovení neočekávaná ve smyslu ustanovení § 1753 občanského zákoníku, a souhlasím s nimi. </w:t>
      </w:r>
    </w:p>
    <w:p w14:paraId="038004C8" w14:textId="77777777" w:rsidR="001E6910" w:rsidRDefault="004A265E">
      <w:pPr>
        <w:ind w:left="262"/>
      </w:pPr>
      <w:r>
        <w:t>Dále prohlašuji, že mé odpovědi na písemné dotazy pojistitele ve smyslu ustanovení § 2788 občanského zákoníku jsou pravdivé a úplné;</w:t>
      </w:r>
    </w:p>
    <w:p w14:paraId="61441557" w14:textId="77777777" w:rsidR="001E6910" w:rsidRDefault="004A265E">
      <w:pPr>
        <w:numPr>
          <w:ilvl w:val="0"/>
          <w:numId w:val="5"/>
        </w:numPr>
        <w:ind w:hanging="235"/>
      </w:pPr>
      <w:r>
        <w:t>seznámení s Informačním dokumentem o pojistném produktu a s pojistnými podmínkami za pojistitele provedla právě ta konkrétní fyzická osoba, která za pojistitele podepsala tuto pojistnou smlouvu;</w:t>
      </w:r>
    </w:p>
    <w:p w14:paraId="0BF39CA6" w14:textId="77777777" w:rsidR="001E6910" w:rsidRDefault="004A265E">
      <w:pPr>
        <w:numPr>
          <w:ilvl w:val="0"/>
          <w:numId w:val="5"/>
        </w:numPr>
        <w:ind w:hanging="235"/>
      </w:pPr>
      <w:r>
        <w:t>seznámení s Informačním dokumentem o pojistném produktu a s pojistnými podmínkami za pojistitele provedla právě ta konkrétní fyzická osoba, která za pojistitele podepsala tuto pojistnou smlouvu (přičemž adresátem</w:t>
      </w:r>
    </w:p>
    <w:p w14:paraId="1BCD5151" w14:textId="77777777" w:rsidR="001E6910" w:rsidRDefault="004A265E">
      <w:pPr>
        <w:ind w:left="9" w:firstLine="228"/>
      </w:pPr>
      <w:r>
        <w:t>uvedených informací může být pojišťovací makléř, coby pojišťovací zprostředkovatel zastupující pojistníka); před uzavřením pojistné smlouvy mi byly v listinné podobě poskytnuty Informační dokument o pojistném e) produktu a pojistné podmínky; jsem v dostatečné době před uzavřením této pojistné smlouvy obdržel od pojišťovacího makléře Záznam z f) jednání, včetně všech jeho příloh; v souladu s ustanovením § 128 odst. 1 zákona č. 277/2009 Sb., o pojišťovnictví, ve znění pozdějších předpisů,</w:t>
      </w:r>
    </w:p>
    <w:p w14:paraId="2EB54F11" w14:textId="77777777" w:rsidR="001E6910" w:rsidRDefault="004A265E">
      <w:pPr>
        <w:ind w:left="19"/>
      </w:pPr>
      <w:r>
        <w:t>g) uděluji pojistiteli souhlas s poskytnutím informací týkajících se pojištění:</w:t>
      </w:r>
    </w:p>
    <w:p w14:paraId="7CA71351" w14:textId="77777777" w:rsidR="001E6910" w:rsidRDefault="004A265E">
      <w:pPr>
        <w:numPr>
          <w:ilvl w:val="0"/>
          <w:numId w:val="6"/>
        </w:numPr>
        <w:ind w:hanging="111"/>
      </w:pPr>
      <w:r>
        <w:t xml:space="preserve">členům skupiny ČSOB, jejichž seznam je uveden na internetových stránkách www.csob.cz/skupina a  </w:t>
      </w:r>
    </w:p>
    <w:p w14:paraId="309D09F4" w14:textId="77777777" w:rsidR="001E6910" w:rsidRDefault="004A265E">
      <w:pPr>
        <w:numPr>
          <w:ilvl w:val="0"/>
          <w:numId w:val="6"/>
        </w:numPr>
        <w:ind w:hanging="111"/>
      </w:pPr>
      <w:r>
        <w:t>ostatním subjektům podnikajícím v pojišťovnictví a zájmovým sdružením či korporacím těchto subjektů.</w:t>
      </w:r>
    </w:p>
    <w:p w14:paraId="1393B57A" w14:textId="77777777" w:rsidR="001E6910" w:rsidRDefault="004A265E">
      <w:pPr>
        <w:spacing w:after="0" w:line="259" w:lineRule="auto"/>
        <w:ind w:left="0" w:firstLine="0"/>
        <w:jc w:val="left"/>
      </w:pPr>
      <w:r>
        <w:br w:type="page"/>
      </w:r>
    </w:p>
    <w:p w14:paraId="24A5C903" w14:textId="77777777" w:rsidR="001E6910" w:rsidRDefault="004A265E">
      <w:pPr>
        <w:spacing w:after="275"/>
        <w:ind w:left="19"/>
      </w:pPr>
      <w:r>
        <w:lastRenderedPageBreak/>
        <w:t>Pojistník uzavřením této pojistné smlouvy uděluje pojistiteli plnou moc k tomu, aby ve věcech souvisejících s pojištěním sjednaným touto pojistnou smlouvou a zejména v případě pojistné nebo škodné události, jednal jeho jménem, zastupoval ho a požadoval nezbytné informace od orgánů veřejné moci nebo třetích osob, a to včetně možnosti nahlížení do spisů a pořizování výpisů či opisů z nich.</w:t>
      </w:r>
    </w:p>
    <w:p w14:paraId="071D3AB4" w14:textId="77777777" w:rsidR="001E6910" w:rsidRDefault="004A265E">
      <w:pPr>
        <w:spacing w:after="184"/>
        <w:ind w:left="19"/>
      </w:pPr>
      <w:r>
        <w:t>Pojistník čestně prohlašuje, že má objektivně existující pojistný zájem na sjednávaných pojištěních, kterými sjednává pojištění své odpovědnosti případně svého majetku.</w:t>
      </w:r>
    </w:p>
    <w:p w14:paraId="0761D13A" w14:textId="77777777" w:rsidR="001E6910" w:rsidRDefault="004A265E">
      <w:pPr>
        <w:spacing w:after="216"/>
        <w:ind w:left="19"/>
      </w:pPr>
      <w:r>
        <w:t>Pojistná smlouva a jí sjednaná pojištění se řídí českým právním řádem.</w:t>
      </w:r>
    </w:p>
    <w:p w14:paraId="4EA45CA3" w14:textId="77777777" w:rsidR="001E6910" w:rsidRDefault="004A265E">
      <w:pPr>
        <w:spacing w:after="333"/>
        <w:ind w:left="19"/>
      </w:pPr>
      <w:r>
        <w:t>Pojistná smlouva je vyhotovena ve 4 stejnopisech shodné právní síly, přičemž jedno vyhotovení obdrží pojistník, jedno zprostředkovatel a dvě pojistitel.</w:t>
      </w:r>
    </w:p>
    <w:p w14:paraId="1282A665" w14:textId="77777777" w:rsidR="001E6910" w:rsidRDefault="004A265E">
      <w:pPr>
        <w:tabs>
          <w:tab w:val="center" w:pos="1915"/>
        </w:tabs>
        <w:spacing w:after="5" w:line="262" w:lineRule="auto"/>
        <w:ind w:left="-15" w:firstLine="0"/>
        <w:jc w:val="left"/>
      </w:pPr>
      <w:r>
        <w:rPr>
          <w:sz w:val="19"/>
        </w:rPr>
        <w:t>Přílohy:</w:t>
      </w:r>
      <w:r>
        <w:rPr>
          <w:sz w:val="19"/>
        </w:rPr>
        <w:tab/>
        <w:t>1) VPP OC 2014</w:t>
      </w:r>
    </w:p>
    <w:p w14:paraId="3936279D" w14:textId="77777777" w:rsidR="001E6910" w:rsidRDefault="004A265E">
      <w:pPr>
        <w:numPr>
          <w:ilvl w:val="1"/>
          <w:numId w:val="6"/>
        </w:numPr>
        <w:spacing w:after="5" w:line="262" w:lineRule="auto"/>
        <w:ind w:left="1469" w:hanging="209"/>
        <w:jc w:val="left"/>
      </w:pPr>
      <w:r>
        <w:rPr>
          <w:sz w:val="19"/>
        </w:rPr>
        <w:t>VPP ZEM-ZV 2014</w:t>
      </w:r>
    </w:p>
    <w:p w14:paraId="6D9A9157" w14:textId="77777777" w:rsidR="001E6910" w:rsidRDefault="004A265E">
      <w:pPr>
        <w:numPr>
          <w:ilvl w:val="1"/>
          <w:numId w:val="6"/>
        </w:numPr>
        <w:spacing w:after="1595" w:line="262" w:lineRule="auto"/>
        <w:ind w:left="1469" w:hanging="209"/>
        <w:jc w:val="left"/>
      </w:pPr>
      <w:r>
        <w:rPr>
          <w:sz w:val="19"/>
        </w:rPr>
        <w:t>Přehled zvířat</w:t>
      </w:r>
    </w:p>
    <w:tbl>
      <w:tblPr>
        <w:tblStyle w:val="TableGrid"/>
        <w:tblW w:w="6833" w:type="dxa"/>
        <w:tblInd w:w="0" w:type="dxa"/>
        <w:tblLook w:val="04A0" w:firstRow="1" w:lastRow="0" w:firstColumn="1" w:lastColumn="0" w:noHBand="0" w:noVBand="1"/>
      </w:tblPr>
      <w:tblGrid>
        <w:gridCol w:w="3795"/>
        <w:gridCol w:w="3038"/>
      </w:tblGrid>
      <w:tr w:rsidR="001E6910" w14:paraId="740053E5" w14:textId="77777777">
        <w:trPr>
          <w:trHeight w:val="2162"/>
        </w:trPr>
        <w:tc>
          <w:tcPr>
            <w:tcW w:w="3795" w:type="dxa"/>
            <w:tcBorders>
              <w:top w:val="nil"/>
              <w:left w:val="nil"/>
              <w:bottom w:val="nil"/>
              <w:right w:val="nil"/>
            </w:tcBorders>
          </w:tcPr>
          <w:p w14:paraId="5DC6B89B" w14:textId="77777777" w:rsidR="001E6910" w:rsidRDefault="004A265E">
            <w:pPr>
              <w:spacing w:after="1258" w:line="264" w:lineRule="auto"/>
              <w:ind w:left="0" w:right="1602" w:firstLine="0"/>
              <w:jc w:val="left"/>
            </w:pPr>
            <w:r>
              <w:rPr>
                <w:sz w:val="19"/>
              </w:rPr>
              <w:t>V Českých Budějovicích dne</w:t>
            </w:r>
            <w:r>
              <w:rPr>
                <w:sz w:val="19"/>
              </w:rPr>
              <w:tab/>
              <w:t>27.11.2024</w:t>
            </w:r>
          </w:p>
          <w:p w14:paraId="2BA4F1D8" w14:textId="77777777" w:rsidR="001E6910" w:rsidRDefault="004A265E">
            <w:pPr>
              <w:spacing w:after="0" w:line="259" w:lineRule="auto"/>
              <w:ind w:left="0" w:right="1602" w:firstLine="0"/>
              <w:jc w:val="left"/>
            </w:pPr>
            <w:r>
              <w:rPr>
                <w:sz w:val="19"/>
              </w:rPr>
              <w:t>V Českých Budějovicích dne</w:t>
            </w:r>
            <w:r>
              <w:rPr>
                <w:sz w:val="19"/>
              </w:rPr>
              <w:tab/>
              <w:t>27.11.2024</w:t>
            </w:r>
          </w:p>
        </w:tc>
        <w:tc>
          <w:tcPr>
            <w:tcW w:w="3038" w:type="dxa"/>
            <w:tcBorders>
              <w:top w:val="nil"/>
              <w:left w:val="nil"/>
              <w:bottom w:val="nil"/>
              <w:right w:val="nil"/>
            </w:tcBorders>
          </w:tcPr>
          <w:p w14:paraId="71DEB5A5" w14:textId="77777777" w:rsidR="001E6910" w:rsidRDefault="004A265E">
            <w:pPr>
              <w:spacing w:after="5" w:line="259" w:lineRule="auto"/>
              <w:ind w:left="158" w:firstLine="0"/>
            </w:pPr>
            <w:r>
              <w:rPr>
                <w:sz w:val="19"/>
              </w:rPr>
              <w:t>………………………………………</w:t>
            </w:r>
          </w:p>
          <w:p w14:paraId="07EB7467" w14:textId="77777777" w:rsidR="001E6910" w:rsidRDefault="004A265E">
            <w:pPr>
              <w:spacing w:after="0" w:line="259" w:lineRule="auto"/>
              <w:ind w:left="159" w:firstLine="0"/>
              <w:jc w:val="center"/>
            </w:pPr>
            <w:r>
              <w:rPr>
                <w:sz w:val="19"/>
              </w:rPr>
              <w:t>Ing. Jan Tyl</w:t>
            </w:r>
          </w:p>
          <w:p w14:paraId="6EDD57D3" w14:textId="77777777" w:rsidR="001E6910" w:rsidRDefault="004A265E">
            <w:pPr>
              <w:spacing w:after="1046" w:line="259" w:lineRule="auto"/>
              <w:ind w:left="129" w:firstLine="0"/>
              <w:jc w:val="center"/>
            </w:pPr>
            <w:r>
              <w:rPr>
                <w:i/>
              </w:rPr>
              <w:t>(razítko a podpis pojistníka)</w:t>
            </w:r>
          </w:p>
          <w:p w14:paraId="3C7F33A3" w14:textId="77777777" w:rsidR="001E6910" w:rsidRDefault="004A265E">
            <w:pPr>
              <w:spacing w:after="5" w:line="259" w:lineRule="auto"/>
              <w:ind w:left="158" w:firstLine="0"/>
            </w:pPr>
            <w:r>
              <w:rPr>
                <w:sz w:val="19"/>
              </w:rPr>
              <w:t>………………………………………</w:t>
            </w:r>
          </w:p>
          <w:p w14:paraId="76ECC2F6" w14:textId="2AC71797" w:rsidR="001E6910" w:rsidRDefault="00AC52A4">
            <w:pPr>
              <w:spacing w:after="0" w:line="259" w:lineRule="auto"/>
              <w:ind w:left="157" w:firstLine="0"/>
              <w:jc w:val="center"/>
            </w:pPr>
            <w:r>
              <w:rPr>
                <w:sz w:val="19"/>
              </w:rPr>
              <w:t>XXXXXXXXX</w:t>
            </w:r>
          </w:p>
        </w:tc>
      </w:tr>
    </w:tbl>
    <w:p w14:paraId="4B9F7433" w14:textId="77777777" w:rsidR="001E6910" w:rsidRDefault="004A265E">
      <w:pPr>
        <w:spacing w:after="0" w:line="259" w:lineRule="auto"/>
        <w:ind w:left="2244" w:firstLine="0"/>
        <w:jc w:val="center"/>
      </w:pPr>
      <w:r>
        <w:rPr>
          <w:i/>
        </w:rPr>
        <w:t>(razítko a podpis pojistitele)</w:t>
      </w:r>
    </w:p>
    <w:sectPr w:rsidR="001E6910">
      <w:headerReference w:type="even" r:id="rId7"/>
      <w:headerReference w:type="default" r:id="rId8"/>
      <w:footerReference w:type="even" r:id="rId9"/>
      <w:footerReference w:type="default" r:id="rId10"/>
      <w:headerReference w:type="first" r:id="rId11"/>
      <w:footerReference w:type="first" r:id="rId12"/>
      <w:pgSz w:w="11906" w:h="16838"/>
      <w:pgMar w:top="1231" w:right="1826" w:bottom="1890" w:left="1568" w:header="451" w:footer="4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0CB1E" w14:textId="77777777" w:rsidR="004A265E" w:rsidRDefault="004A265E">
      <w:pPr>
        <w:spacing w:after="0" w:line="240" w:lineRule="auto"/>
      </w:pPr>
      <w:r>
        <w:separator/>
      </w:r>
    </w:p>
  </w:endnote>
  <w:endnote w:type="continuationSeparator" w:id="0">
    <w:p w14:paraId="33532527" w14:textId="77777777" w:rsidR="004A265E" w:rsidRDefault="004A2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4C106" w14:textId="77777777" w:rsidR="001E6910" w:rsidRDefault="004A265E">
    <w:pPr>
      <w:spacing w:after="0" w:line="259" w:lineRule="auto"/>
      <w:ind w:left="0" w:right="-789"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3182" w14:textId="77777777" w:rsidR="001E6910" w:rsidRDefault="004A265E">
    <w:pPr>
      <w:spacing w:after="0" w:line="259" w:lineRule="auto"/>
      <w:ind w:left="0" w:right="-789"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CB949" w14:textId="77777777" w:rsidR="001E6910" w:rsidRDefault="004A265E">
    <w:pPr>
      <w:spacing w:after="0" w:line="259" w:lineRule="auto"/>
      <w:ind w:left="0" w:right="-789"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993AE" w14:textId="77777777" w:rsidR="004A265E" w:rsidRDefault="004A265E">
      <w:pPr>
        <w:spacing w:after="0" w:line="240" w:lineRule="auto"/>
      </w:pPr>
      <w:r>
        <w:separator/>
      </w:r>
    </w:p>
  </w:footnote>
  <w:footnote w:type="continuationSeparator" w:id="0">
    <w:p w14:paraId="132D5C1D" w14:textId="77777777" w:rsidR="004A265E" w:rsidRDefault="004A2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7412A" w14:textId="77777777" w:rsidR="001E6910" w:rsidRDefault="004A265E">
    <w:pPr>
      <w:spacing w:after="0" w:line="259" w:lineRule="auto"/>
      <w:ind w:left="-1568" w:right="10081" w:firstLine="0"/>
      <w:jc w:val="left"/>
    </w:pPr>
    <w:r>
      <w:rPr>
        <w:noProof/>
      </w:rPr>
      <w:drawing>
        <wp:anchor distT="0" distB="0" distL="114300" distR="114300" simplePos="0" relativeHeight="251658240" behindDoc="0" locked="0" layoutInCell="1" allowOverlap="0" wp14:anchorId="316434B5" wp14:editId="6C46CB4F">
          <wp:simplePos x="0" y="0"/>
          <wp:positionH relativeFrom="page">
            <wp:posOffset>5574792</wp:posOffset>
          </wp:positionH>
          <wp:positionV relativeFrom="page">
            <wp:posOffset>286512</wp:posOffset>
          </wp:positionV>
          <wp:extent cx="1338072" cy="42062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38072" cy="42062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F857" w14:textId="77777777" w:rsidR="001E6910" w:rsidRDefault="004A265E">
    <w:pPr>
      <w:spacing w:after="0" w:line="259" w:lineRule="auto"/>
      <w:ind w:left="-1568" w:right="10081" w:firstLine="0"/>
      <w:jc w:val="left"/>
    </w:pPr>
    <w:r>
      <w:rPr>
        <w:noProof/>
      </w:rPr>
      <w:drawing>
        <wp:anchor distT="0" distB="0" distL="114300" distR="114300" simplePos="0" relativeHeight="251659264" behindDoc="0" locked="0" layoutInCell="1" allowOverlap="0" wp14:anchorId="72F28171" wp14:editId="5C5CD40B">
          <wp:simplePos x="0" y="0"/>
          <wp:positionH relativeFrom="page">
            <wp:posOffset>5574792</wp:posOffset>
          </wp:positionH>
          <wp:positionV relativeFrom="page">
            <wp:posOffset>286512</wp:posOffset>
          </wp:positionV>
          <wp:extent cx="1338072" cy="420624"/>
          <wp:effectExtent l="0" t="0" r="0" b="0"/>
          <wp:wrapSquare wrapText="bothSides"/>
          <wp:docPr id="167793740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38072" cy="42062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DB09C" w14:textId="77777777" w:rsidR="001E6910" w:rsidRDefault="004A265E">
    <w:pPr>
      <w:spacing w:after="0" w:line="259" w:lineRule="auto"/>
      <w:ind w:left="-1568" w:right="10081" w:firstLine="0"/>
      <w:jc w:val="left"/>
    </w:pPr>
    <w:r>
      <w:rPr>
        <w:noProof/>
      </w:rPr>
      <w:drawing>
        <wp:anchor distT="0" distB="0" distL="114300" distR="114300" simplePos="0" relativeHeight="251660288" behindDoc="0" locked="0" layoutInCell="1" allowOverlap="0" wp14:anchorId="703F9DE8" wp14:editId="5399CD68">
          <wp:simplePos x="0" y="0"/>
          <wp:positionH relativeFrom="page">
            <wp:posOffset>5574792</wp:posOffset>
          </wp:positionH>
          <wp:positionV relativeFrom="page">
            <wp:posOffset>286512</wp:posOffset>
          </wp:positionV>
          <wp:extent cx="1338072" cy="420624"/>
          <wp:effectExtent l="0" t="0" r="0" b="0"/>
          <wp:wrapSquare wrapText="bothSides"/>
          <wp:docPr id="165674688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38072" cy="4206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0394"/>
    <w:multiLevelType w:val="hybridMultilevel"/>
    <w:tmpl w:val="D4B4AF4C"/>
    <w:lvl w:ilvl="0" w:tplc="ABEADC8E">
      <w:start w:val="1"/>
      <w:numFmt w:val="bullet"/>
      <w:lvlText w:val="•"/>
      <w:lvlJc w:val="left"/>
      <w:pPr>
        <w:ind w:left="3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66EEAEC">
      <w:start w:val="2"/>
      <w:numFmt w:val="decimal"/>
      <w:lvlText w:val="%2)"/>
      <w:lvlJc w:val="left"/>
      <w:pPr>
        <w:ind w:left="146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0365F88">
      <w:start w:val="1"/>
      <w:numFmt w:val="lowerRoman"/>
      <w:lvlText w:val="%3"/>
      <w:lvlJc w:val="left"/>
      <w:pPr>
        <w:ind w:left="23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BC2BED6">
      <w:start w:val="1"/>
      <w:numFmt w:val="decimal"/>
      <w:lvlText w:val="%4"/>
      <w:lvlJc w:val="left"/>
      <w:pPr>
        <w:ind w:left="30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3205E9C">
      <w:start w:val="1"/>
      <w:numFmt w:val="lowerLetter"/>
      <w:lvlText w:val="%5"/>
      <w:lvlJc w:val="left"/>
      <w:pPr>
        <w:ind w:left="37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CDCAD3E">
      <w:start w:val="1"/>
      <w:numFmt w:val="lowerRoman"/>
      <w:lvlText w:val="%6"/>
      <w:lvlJc w:val="left"/>
      <w:pPr>
        <w:ind w:left="45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AC874C2">
      <w:start w:val="1"/>
      <w:numFmt w:val="decimal"/>
      <w:lvlText w:val="%7"/>
      <w:lvlJc w:val="left"/>
      <w:pPr>
        <w:ind w:left="52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9BC2DD8">
      <w:start w:val="1"/>
      <w:numFmt w:val="lowerLetter"/>
      <w:lvlText w:val="%8"/>
      <w:lvlJc w:val="left"/>
      <w:pPr>
        <w:ind w:left="59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E28323C">
      <w:start w:val="1"/>
      <w:numFmt w:val="lowerRoman"/>
      <w:lvlText w:val="%9"/>
      <w:lvlJc w:val="left"/>
      <w:pPr>
        <w:ind w:left="66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CB0681A"/>
    <w:multiLevelType w:val="hybridMultilevel"/>
    <w:tmpl w:val="02AE142E"/>
    <w:lvl w:ilvl="0" w:tplc="A5BCA748">
      <w:start w:val="1"/>
      <w:numFmt w:val="lowerLetter"/>
      <w:lvlText w:val="%1)"/>
      <w:lvlJc w:val="left"/>
      <w:pPr>
        <w:ind w:left="2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C69A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0F0EF7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2CA8CF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55C097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AE2973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8FE3CF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FF44CE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F0E54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1A17E7F"/>
    <w:multiLevelType w:val="hybridMultilevel"/>
    <w:tmpl w:val="2EFCE61A"/>
    <w:lvl w:ilvl="0" w:tplc="FB3E0312">
      <w:start w:val="1"/>
      <w:numFmt w:val="lowerLetter"/>
      <w:lvlText w:val="%1)"/>
      <w:lvlJc w:val="left"/>
      <w:pPr>
        <w:ind w:left="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7A12E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1B848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962FC1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5EA2D1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500FDE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30AC4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8852D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62263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D9070E7"/>
    <w:multiLevelType w:val="hybridMultilevel"/>
    <w:tmpl w:val="350A3E26"/>
    <w:lvl w:ilvl="0" w:tplc="9E4A0F24">
      <w:start w:val="1"/>
      <w:numFmt w:val="lowerLetter"/>
      <w:lvlText w:val="%1)"/>
      <w:lvlJc w:val="left"/>
      <w:pPr>
        <w:ind w:left="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3FE4B64">
      <w:start w:val="1"/>
      <w:numFmt w:val="bullet"/>
      <w:lvlText w:val="•"/>
      <w:lvlJc w:val="left"/>
      <w:pPr>
        <w:ind w:left="3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B5863AE">
      <w:start w:val="1"/>
      <w:numFmt w:val="bullet"/>
      <w:lvlText w:val="▪"/>
      <w:lvlJc w:val="left"/>
      <w:pPr>
        <w:ind w:left="13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1762376">
      <w:start w:val="1"/>
      <w:numFmt w:val="bullet"/>
      <w:lvlText w:val="•"/>
      <w:lvlJc w:val="left"/>
      <w:pPr>
        <w:ind w:left="20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CD2A062">
      <w:start w:val="1"/>
      <w:numFmt w:val="bullet"/>
      <w:lvlText w:val="o"/>
      <w:lvlJc w:val="left"/>
      <w:pPr>
        <w:ind w:left="27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156396C">
      <w:start w:val="1"/>
      <w:numFmt w:val="bullet"/>
      <w:lvlText w:val="▪"/>
      <w:lvlJc w:val="left"/>
      <w:pPr>
        <w:ind w:left="34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8985936">
      <w:start w:val="1"/>
      <w:numFmt w:val="bullet"/>
      <w:lvlText w:val="•"/>
      <w:lvlJc w:val="left"/>
      <w:pPr>
        <w:ind w:left="42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BC44D32">
      <w:start w:val="1"/>
      <w:numFmt w:val="bullet"/>
      <w:lvlText w:val="o"/>
      <w:lvlJc w:val="left"/>
      <w:pPr>
        <w:ind w:left="49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E66C7B0">
      <w:start w:val="1"/>
      <w:numFmt w:val="bullet"/>
      <w:lvlText w:val="▪"/>
      <w:lvlJc w:val="left"/>
      <w:pPr>
        <w:ind w:left="56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2627079"/>
    <w:multiLevelType w:val="hybridMultilevel"/>
    <w:tmpl w:val="3DE6088E"/>
    <w:lvl w:ilvl="0" w:tplc="A06E3A56">
      <w:start w:val="1"/>
      <w:numFmt w:val="lowerLetter"/>
      <w:lvlText w:val="%1)"/>
      <w:lvlJc w:val="left"/>
      <w:pPr>
        <w:ind w:left="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24AB0FA">
      <w:start w:val="1"/>
      <w:numFmt w:val="lowerLetter"/>
      <w:lvlText w:val="%2"/>
      <w:lvlJc w:val="left"/>
      <w:pPr>
        <w:ind w:left="1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B7E359C">
      <w:start w:val="1"/>
      <w:numFmt w:val="lowerRoman"/>
      <w:lvlText w:val="%3"/>
      <w:lvlJc w:val="left"/>
      <w:pPr>
        <w:ind w:left="1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7266084">
      <w:start w:val="1"/>
      <w:numFmt w:val="decimal"/>
      <w:lvlText w:val="%4"/>
      <w:lvlJc w:val="left"/>
      <w:pPr>
        <w:ind w:left="2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E5AEE4C">
      <w:start w:val="1"/>
      <w:numFmt w:val="lowerLetter"/>
      <w:lvlText w:val="%5"/>
      <w:lvlJc w:val="left"/>
      <w:pPr>
        <w:ind w:left="3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2C21AB2">
      <w:start w:val="1"/>
      <w:numFmt w:val="lowerRoman"/>
      <w:lvlText w:val="%6"/>
      <w:lvlJc w:val="left"/>
      <w:pPr>
        <w:ind w:left="39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95C3D68">
      <w:start w:val="1"/>
      <w:numFmt w:val="decimal"/>
      <w:lvlText w:val="%7"/>
      <w:lvlJc w:val="left"/>
      <w:pPr>
        <w:ind w:left="47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E060C08">
      <w:start w:val="1"/>
      <w:numFmt w:val="lowerLetter"/>
      <w:lvlText w:val="%8"/>
      <w:lvlJc w:val="left"/>
      <w:pPr>
        <w:ind w:left="54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98A85C">
      <w:start w:val="1"/>
      <w:numFmt w:val="lowerRoman"/>
      <w:lvlText w:val="%9"/>
      <w:lvlJc w:val="left"/>
      <w:pPr>
        <w:ind w:left="61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3D21E8D"/>
    <w:multiLevelType w:val="hybridMultilevel"/>
    <w:tmpl w:val="95264412"/>
    <w:lvl w:ilvl="0" w:tplc="E49CD6A6">
      <w:start w:val="1"/>
      <w:numFmt w:val="lowerLetter"/>
      <w:lvlText w:val="%1)"/>
      <w:lvlJc w:val="left"/>
      <w:pPr>
        <w:ind w:left="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FD035E8">
      <w:start w:val="1"/>
      <w:numFmt w:val="lowerLetter"/>
      <w:lvlText w:val="%2"/>
      <w:lvlJc w:val="left"/>
      <w:pPr>
        <w:ind w:left="11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1B0B9A4">
      <w:start w:val="1"/>
      <w:numFmt w:val="lowerRoman"/>
      <w:lvlText w:val="%3"/>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B5C7C1E">
      <w:start w:val="1"/>
      <w:numFmt w:val="decimal"/>
      <w:lvlText w:val="%4"/>
      <w:lvlJc w:val="left"/>
      <w:pPr>
        <w:ind w:left="2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0DE058C">
      <w:start w:val="1"/>
      <w:numFmt w:val="lowerLetter"/>
      <w:lvlText w:val="%5"/>
      <w:lvlJc w:val="left"/>
      <w:pPr>
        <w:ind w:left="3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A40BD04">
      <w:start w:val="1"/>
      <w:numFmt w:val="lowerRoman"/>
      <w:lvlText w:val="%6"/>
      <w:lvlJc w:val="left"/>
      <w:pPr>
        <w:ind w:left="3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22CB590">
      <w:start w:val="1"/>
      <w:numFmt w:val="decimal"/>
      <w:lvlText w:val="%7"/>
      <w:lvlJc w:val="left"/>
      <w:pPr>
        <w:ind w:left="4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D7644DE">
      <w:start w:val="1"/>
      <w:numFmt w:val="lowerLetter"/>
      <w:lvlText w:val="%8"/>
      <w:lvlJc w:val="left"/>
      <w:pPr>
        <w:ind w:left="5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09C86C4">
      <w:start w:val="1"/>
      <w:numFmt w:val="lowerRoman"/>
      <w:lvlText w:val="%9"/>
      <w:lvlJc w:val="left"/>
      <w:pPr>
        <w:ind w:left="6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694814314">
    <w:abstractNumId w:val="2"/>
  </w:num>
  <w:num w:numId="2" w16cid:durableId="1404526772">
    <w:abstractNumId w:val="1"/>
  </w:num>
  <w:num w:numId="3" w16cid:durableId="453672679">
    <w:abstractNumId w:val="4"/>
  </w:num>
  <w:num w:numId="4" w16cid:durableId="1228108634">
    <w:abstractNumId w:val="3"/>
  </w:num>
  <w:num w:numId="5" w16cid:durableId="884877942">
    <w:abstractNumId w:val="5"/>
  </w:num>
  <w:num w:numId="6" w16cid:durableId="1634941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910"/>
    <w:rsid w:val="001E6910"/>
    <w:rsid w:val="004A265E"/>
    <w:rsid w:val="00AC52A4"/>
    <w:rsid w:val="00E75D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C515"/>
  <w15:docId w15:val="{2904B53C-FC30-41F1-A77D-3055B676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5" w:line="271" w:lineRule="auto"/>
      <w:ind w:left="10" w:hanging="10"/>
      <w:jc w:val="both"/>
    </w:pPr>
    <w:rPr>
      <w:rFonts w:ascii="Times New Roman" w:eastAsia="Times New Roman" w:hAnsi="Times New Roman" w:cs="Times New Roman"/>
      <w:color w:val="000000"/>
      <w:sz w:val="18"/>
    </w:rPr>
  </w:style>
  <w:style w:type="paragraph" w:styleId="Nadpis1">
    <w:name w:val="heading 1"/>
    <w:next w:val="Normln"/>
    <w:link w:val="Nadpis1Char"/>
    <w:uiPriority w:val="9"/>
    <w:qFormat/>
    <w:pPr>
      <w:keepNext/>
      <w:keepLines/>
      <w:spacing w:after="0"/>
      <w:ind w:left="15" w:hanging="10"/>
      <w:outlineLvl w:val="0"/>
    </w:pPr>
    <w:rPr>
      <w:rFonts w:ascii="Times New Roman" w:eastAsia="Times New Roman" w:hAnsi="Times New Roman" w:cs="Times New Roman"/>
      <w:b/>
      <w:color w:val="000000"/>
    </w:rPr>
  </w:style>
  <w:style w:type="paragraph" w:styleId="Nadpis2">
    <w:name w:val="heading 2"/>
    <w:next w:val="Normln"/>
    <w:link w:val="Nadpis2Char"/>
    <w:uiPriority w:val="9"/>
    <w:unhideWhenUsed/>
    <w:qFormat/>
    <w:pPr>
      <w:keepNext/>
      <w:keepLines/>
      <w:spacing w:after="204"/>
      <w:ind w:left="10" w:right="35" w:hanging="10"/>
      <w:jc w:val="center"/>
      <w:outlineLvl w:val="1"/>
    </w:pPr>
    <w:rPr>
      <w:rFonts w:ascii="Times New Roman" w:eastAsia="Times New Roman" w:hAnsi="Times New Roman" w:cs="Times New Roman"/>
      <w:b/>
      <w:i/>
      <w:color w:val="000000"/>
    </w:rPr>
  </w:style>
  <w:style w:type="paragraph" w:styleId="Nadpis3">
    <w:name w:val="heading 3"/>
    <w:next w:val="Normln"/>
    <w:link w:val="Nadpis3Char"/>
    <w:uiPriority w:val="9"/>
    <w:unhideWhenUsed/>
    <w:qFormat/>
    <w:pPr>
      <w:keepNext/>
      <w:keepLines/>
      <w:spacing w:after="4"/>
      <w:ind w:left="10" w:hanging="10"/>
      <w:outlineLvl w:val="2"/>
    </w:pPr>
    <w:rPr>
      <w:rFonts w:ascii="Times New Roman" w:eastAsia="Times New Roman" w:hAnsi="Times New Roman" w:cs="Times New Roman"/>
      <w:b/>
      <w:color w:val="000000"/>
      <w:sz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b/>
      <w:color w:val="000000"/>
      <w:sz w:val="19"/>
    </w:rPr>
  </w:style>
  <w:style w:type="character" w:customStyle="1" w:styleId="Nadpis2Char">
    <w:name w:val="Nadpis 2 Char"/>
    <w:link w:val="Nadpis2"/>
    <w:rPr>
      <w:rFonts w:ascii="Times New Roman" w:eastAsia="Times New Roman" w:hAnsi="Times New Roman" w:cs="Times New Roman"/>
      <w:b/>
      <w:i/>
      <w:color w:val="000000"/>
      <w:sz w:val="22"/>
    </w:rPr>
  </w:style>
  <w:style w:type="character" w:customStyle="1" w:styleId="Nadpis1Char">
    <w:name w:val="Nadpis 1 Char"/>
    <w:link w:val="Nadpis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2007</Words>
  <Characters>11847</Characters>
  <Application>Microsoft Office Word</Application>
  <DocSecurity>0</DocSecurity>
  <Lines>98</Lines>
  <Paragraphs>27</Paragraphs>
  <ScaleCrop>false</ScaleCrop>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Typovací předloha</dc:title>
  <dc:subject>PPR</dc:subject>
  <dc:creator>OŠ &amp; MJ;LD</dc:creator>
  <cp:keywords/>
  <cp:lastModifiedBy>Pulkrabová Alena</cp:lastModifiedBy>
  <cp:revision>3</cp:revision>
  <dcterms:created xsi:type="dcterms:W3CDTF">2025-01-21T09:11:00Z</dcterms:created>
  <dcterms:modified xsi:type="dcterms:W3CDTF">2025-01-21T10:12:00Z</dcterms:modified>
</cp:coreProperties>
</file>