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</w:t>
        <w:br/>
        <w:t>k nájemní smlouvě č. 92/2012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9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Zastoupený: ve věcech smluvních: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962" w:val="left"/>
        </w:tabs>
        <w:bidi w:val="0"/>
        <w:spacing w:before="0" w:after="0" w:line="24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 CZ70889988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20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Labem, v oddílu A, vložce č. 13052</w:t>
      </w:r>
    </w:p>
    <w:tbl>
      <w:tblPr>
        <w:tblOverlap w:val="never"/>
        <w:jc w:val="center"/>
        <w:tblLayout w:type="fixed"/>
      </w:tblPr>
      <w:tblGrid>
        <w:gridCol w:w="1507"/>
        <w:gridCol w:w="7618"/>
      </w:tblGrid>
      <w:tr>
        <w:trPr>
          <w:trHeight w:val="13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Radomil Macek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Malá 322/11, 408 01 Rumburk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46796797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 u MěÚ Rumburk – Obecní živnostenský úřad, živnostenský list vydán dne 1.6. 1995 pod č.j. 194/95/2009/Ž/Č</w:t>
            </w:r>
          </w:p>
        </w:tc>
      </w:tr>
    </w:tbl>
    <w:p>
      <w:pPr>
        <w:widowControl w:val="0"/>
        <w:spacing w:after="9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3 se mění tyto body smlouvy: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ÚČEL NÁJMU změna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této smlouvy je nájemci pronajímán za účelem sportovního rybaření a chovu ryb.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 ZÁVĚREČNÁ USTANOVENÍ změna odst. 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hanging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Nájemce bude před každou aplikací krmiva sledovat a hodnotit průhlednost vody, barvu, rozvoj zooplanktonu a fytoplanktonu. Dále bude 1 x týdně sledovat a zaznamenávat zjištěné hodnoty obsahu rozpuštěného kyslíku, teploty vody a pH. Nájemce bude sledovat fyzikálně-chemické veličiny vody. Za tímto účelem budou odebírány prosté vzorky na nátoku do soustavy rybníků a na odtoku ze soustavy. Výsledky rozborů budou pravidelně zasílány odboru VHP k vyjádření. Sledovány budou 4 x za rok ukazatele CHSK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BSK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N-NH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cs-CZ" w:eastAsia="cs-CZ" w:bidi="cs-CZ"/>
        </w:rPr>
        <w:t>+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P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celk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 V období výskytu vysokých teplot spojených s nízkými vodními stavy v tocích a nádržích bude zvýšena četnost sledování fyzikálně-chemických veličin. V případě vzniku kritických stavů, za kterých může dojít k úhynu jednotlivých druhů rybí obsádky, je nájemce povinen učinit taková organizační a technická opatření, která budou minimalizovat jejich úhyn.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této smlouvy nabývá platnosti dnem podpisu poslední ze smluvních stran a účinnosti zveřejněním v Registru smluv, pokud této účinnosti dle příslušných ustanovení dodatku smlouvy nenabude později.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205" w:val="left"/>
          <w:tab w:pos="8986" w:val="left"/>
        </w:tabs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787" w:left="1374" w:right="1410" w:bottom="1864" w:header="35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 Rumburku dne </w:t>
      </w:r>
      <w:r>
        <w:rPr>
          <w:u w:val="single"/>
        </w:rPr>
        <w:t xml:space="preserve"> </w:t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801" w:left="0" w:right="0" w:bottom="1247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40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03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801" w:left="1394" w:right="1471" w:bottom="1247" w:header="0" w:footer="3" w:gutter="0"/>
          <w:cols w:num="2" w:space="8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Radomil Macek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801" w:left="1394" w:right="1471" w:bottom="1247" w:header="0" w:footer="3" w:gutter="0"/>
      <w:cols w:num="2" w:space="80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9899650</wp:posOffset>
              </wp:positionV>
              <wp:extent cx="692150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215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100000000000009pt;margin-top:779.5pt;width:54.5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7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Letafkova Jana</dc:creator>
  <cp:keywords/>
</cp:coreProperties>
</file>