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55EBEA4D" w:rsidR="004A02F7" w:rsidRPr="003447AB" w:rsidRDefault="004A02F7" w:rsidP="00A059AF">
      <w:pPr>
        <w:tabs>
          <w:tab w:val="left" w:pos="1134"/>
        </w:tabs>
        <w:spacing w:before="600"/>
        <w:rPr>
          <w:rFonts w:cs="Segoe UI"/>
          <w:b/>
          <w:bCs/>
        </w:rPr>
      </w:pPr>
      <w:r w:rsidRPr="003447AB">
        <w:rPr>
          <w:rFonts w:cs="Segoe UI"/>
          <w:b/>
          <w:bCs/>
        </w:rPr>
        <w:t>Č. sml</w:t>
      </w:r>
      <w:r w:rsidR="00A059AF" w:rsidRPr="003447AB">
        <w:rPr>
          <w:rFonts w:cs="Segoe UI"/>
          <w:b/>
          <w:bCs/>
        </w:rPr>
        <w:t>.</w:t>
      </w:r>
      <w:r w:rsidRPr="003447AB">
        <w:rPr>
          <w:rFonts w:cs="Segoe UI"/>
          <w:b/>
          <w:bCs/>
        </w:rPr>
        <w:t>:</w:t>
      </w:r>
      <w:r w:rsidRPr="003447AB">
        <w:rPr>
          <w:rFonts w:cs="Segoe UI"/>
          <w:b/>
          <w:bCs/>
        </w:rPr>
        <w:tab/>
      </w:r>
      <w:r w:rsidR="007F6323">
        <w:rPr>
          <w:rFonts w:cs="Segoe UI"/>
          <w:b/>
          <w:bCs/>
        </w:rPr>
        <w:t>502/2024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0370AA77" w:rsidR="00B727F2" w:rsidRPr="00FE1B44" w:rsidRDefault="00065A45" w:rsidP="00FE1B44">
      <w:pPr>
        <w:pStyle w:val="Nzev"/>
        <w:spacing w:after="0"/>
        <w:jc w:val="both"/>
        <w:rPr>
          <w:rFonts w:cs="Segoe UI"/>
        </w:rPr>
      </w:pPr>
      <w:r w:rsidRPr="003447AB">
        <w:rPr>
          <w:rFonts w:cs="Segoe UI"/>
        </w:rPr>
        <w:t xml:space="preserve">Smlouva o </w:t>
      </w:r>
      <w:r w:rsidR="00327EFB" w:rsidRPr="003447AB">
        <w:rPr>
          <w:rFonts w:cs="Segoe UI"/>
        </w:rPr>
        <w:t>provádění odběrů a rozborů vzorků vypouštěných odpadních vod</w:t>
      </w:r>
      <w:r w:rsidR="00FE1B44">
        <w:rPr>
          <w:rFonts w:cs="Segoe UI"/>
        </w:rPr>
        <w:t xml:space="preserve"> </w:t>
      </w:r>
      <w:r w:rsidR="008E7552" w:rsidRPr="003447AB">
        <w:rPr>
          <w:rFonts w:cs="Segoe UI"/>
          <w:caps w:val="0"/>
          <w:sz w:val="32"/>
        </w:rPr>
        <w:t>–</w:t>
      </w:r>
      <w:r w:rsidR="00327EFB" w:rsidRPr="003447AB">
        <w:rPr>
          <w:rFonts w:cs="Segoe UI"/>
          <w:caps w:val="0"/>
          <w:sz w:val="32"/>
        </w:rPr>
        <w:t xml:space="preserve"> </w:t>
      </w:r>
      <w:r w:rsidR="00D4202D" w:rsidRPr="003447AB">
        <w:rPr>
          <w:rFonts w:cs="Segoe UI"/>
          <w:caps w:val="0"/>
          <w:sz w:val="32"/>
        </w:rPr>
        <w:t>Hlavní město Praha</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4EC2A17B" w14:textId="294FF86D" w:rsidR="00273F8D" w:rsidRPr="00E503D1" w:rsidRDefault="006F4EEF" w:rsidP="003447AB">
      <w:pPr>
        <w:ind w:left="284"/>
        <w:rPr>
          <w:rFonts w:cs="Segoe UI"/>
        </w:rPr>
      </w:pPr>
      <w:r w:rsidRPr="00E503D1">
        <w:rPr>
          <w:rFonts w:cs="Segoe UI"/>
          <w:iCs/>
        </w:rPr>
        <w:t>XXX</w:t>
      </w:r>
      <w:r w:rsidR="00624410" w:rsidRPr="00E503D1">
        <w:rPr>
          <w:rFonts w:cs="Segoe UI"/>
          <w:iCs/>
        </w:rPr>
        <w:t xml:space="preserve">, tel.: </w:t>
      </w:r>
      <w:r w:rsidRPr="00E503D1">
        <w:rPr>
          <w:rFonts w:cs="Segoe UI"/>
          <w:iCs/>
        </w:rPr>
        <w:t>XXX</w:t>
      </w:r>
      <w:r w:rsidR="00624410" w:rsidRPr="00E503D1">
        <w:rPr>
          <w:rFonts w:cs="Segoe UI"/>
          <w:iCs/>
        </w:rPr>
        <w:t xml:space="preserve">, e-mail: </w:t>
      </w:r>
      <w:r w:rsidRPr="00E503D1">
        <w:rPr>
          <w:rFonts w:cs="Segoe UI"/>
          <w:iCs/>
        </w:rPr>
        <w:t>XXX</w:t>
      </w:r>
    </w:p>
    <w:p w14:paraId="2D7AAE45" w14:textId="04ADBC5D" w:rsidR="000B3236" w:rsidRPr="00E503D1" w:rsidRDefault="006F4EEF" w:rsidP="003447AB">
      <w:pPr>
        <w:ind w:left="284"/>
        <w:rPr>
          <w:rFonts w:cs="Segoe UI"/>
          <w:iCs/>
        </w:rPr>
      </w:pPr>
      <w:r w:rsidRPr="00E503D1">
        <w:rPr>
          <w:rFonts w:cs="Segoe UI"/>
          <w:iCs/>
        </w:rPr>
        <w:t>XXX</w:t>
      </w:r>
      <w:r w:rsidR="000B3236" w:rsidRPr="00E503D1">
        <w:rPr>
          <w:rFonts w:cs="Segoe UI"/>
        </w:rPr>
        <w:t xml:space="preserve">, tel.: </w:t>
      </w:r>
      <w:r w:rsidRPr="00E503D1">
        <w:rPr>
          <w:rFonts w:cs="Segoe UI"/>
          <w:iCs/>
        </w:rPr>
        <w:t>XXX</w:t>
      </w:r>
      <w:r w:rsidR="000B3236" w:rsidRPr="00E503D1">
        <w:rPr>
          <w:rFonts w:cs="Segoe UI"/>
        </w:rPr>
        <w:t xml:space="preserve">, e-mail: </w:t>
      </w:r>
      <w:r w:rsidRPr="00E503D1">
        <w:rPr>
          <w:rFonts w:cs="Segoe UI"/>
          <w:iCs/>
        </w:rPr>
        <w:t>XXX</w:t>
      </w:r>
      <w:r w:rsidR="000B3236" w:rsidRPr="00E503D1">
        <w:rPr>
          <w:rFonts w:cs="Segoe UI"/>
        </w:rPr>
        <w:t xml:space="preserve"> </w:t>
      </w:r>
    </w:p>
    <w:p w14:paraId="1BB9C59A" w14:textId="6B2ABF0E" w:rsidR="00273F8D" w:rsidRPr="00E503D1" w:rsidRDefault="00624410" w:rsidP="003447AB">
      <w:pPr>
        <w:spacing w:before="120"/>
        <w:rPr>
          <w:rFonts w:cs="Segoe UI"/>
          <w:i/>
          <w:iCs/>
        </w:rPr>
      </w:pPr>
      <w:r w:rsidRPr="00E503D1">
        <w:rPr>
          <w:rFonts w:cs="Segoe UI"/>
        </w:rPr>
        <w:t>jako</w:t>
      </w:r>
      <w:r w:rsidRPr="00E503D1">
        <w:rPr>
          <w:rFonts w:cs="Segoe UI"/>
          <w:i/>
          <w:iCs/>
        </w:rPr>
        <w:t xml:space="preserve"> „</w:t>
      </w:r>
      <w:r w:rsidRPr="00E503D1">
        <w:rPr>
          <w:rFonts w:cs="Segoe UI"/>
          <w:i/>
          <w:iCs/>
          <w:szCs w:val="20"/>
        </w:rPr>
        <w:t>SFŽP ČR“</w:t>
      </w:r>
      <w:r w:rsidRPr="00E503D1">
        <w:rPr>
          <w:rFonts w:cs="Segoe UI"/>
        </w:rPr>
        <w:t xml:space="preserve"> na</w:t>
      </w:r>
      <w:r w:rsidRPr="00E503D1">
        <w:rPr>
          <w:rFonts w:cs="Segoe UI"/>
          <w:iCs/>
        </w:rPr>
        <w:t xml:space="preserve"> straně jedné</w:t>
      </w:r>
    </w:p>
    <w:p w14:paraId="40DE5739" w14:textId="77777777" w:rsidR="00273F8D" w:rsidRPr="00E503D1" w:rsidRDefault="002B61C9" w:rsidP="003447AB">
      <w:pPr>
        <w:spacing w:before="240" w:after="240"/>
        <w:rPr>
          <w:rFonts w:cs="Segoe UI"/>
        </w:rPr>
      </w:pPr>
      <w:r w:rsidRPr="00E503D1">
        <w:rPr>
          <w:rFonts w:cs="Segoe UI"/>
        </w:rPr>
        <w:t>a</w:t>
      </w:r>
    </w:p>
    <w:p w14:paraId="7D6BCFBB" w14:textId="1F38C456" w:rsidR="00624410" w:rsidRPr="00E503D1" w:rsidRDefault="00D4202D" w:rsidP="003447AB">
      <w:pPr>
        <w:rPr>
          <w:rFonts w:cs="Segoe UI"/>
          <w:b/>
          <w:bCs/>
          <w:iCs/>
        </w:rPr>
      </w:pPr>
      <w:r w:rsidRPr="00E503D1">
        <w:rPr>
          <w:rFonts w:cs="Segoe UI"/>
          <w:b/>
          <w:bCs/>
        </w:rPr>
        <w:t>ALS Czech Republic, s. r. o.</w:t>
      </w:r>
    </w:p>
    <w:p w14:paraId="2C0D4666" w14:textId="0F45AADE" w:rsidR="00624410" w:rsidRPr="00E503D1" w:rsidRDefault="00624410" w:rsidP="003447AB">
      <w:pPr>
        <w:rPr>
          <w:rFonts w:cs="Segoe UI"/>
        </w:rPr>
      </w:pPr>
      <w:r w:rsidRPr="00E503D1">
        <w:rPr>
          <w:rFonts w:cs="Segoe UI"/>
        </w:rPr>
        <w:t>zapsaná v</w:t>
      </w:r>
      <w:r w:rsidR="00D4202D" w:rsidRPr="00E503D1">
        <w:rPr>
          <w:rFonts w:cs="Segoe UI"/>
        </w:rPr>
        <w:t> Obchodním rejstříku vedeném Městským soudem v Praze, oddíl C, vložka 111197</w:t>
      </w:r>
    </w:p>
    <w:p w14:paraId="14528E80" w14:textId="0097FCA3" w:rsidR="00624410" w:rsidRPr="00E503D1" w:rsidRDefault="00624410" w:rsidP="003447AB">
      <w:pPr>
        <w:rPr>
          <w:rFonts w:cs="Segoe UI"/>
        </w:rPr>
      </w:pPr>
      <w:r w:rsidRPr="00E503D1">
        <w:rPr>
          <w:rFonts w:cs="Segoe UI"/>
        </w:rPr>
        <w:t xml:space="preserve">sídlo: </w:t>
      </w:r>
      <w:r w:rsidR="000B3236" w:rsidRPr="00E503D1">
        <w:rPr>
          <w:rFonts w:cs="Segoe UI"/>
        </w:rPr>
        <w:t>Na Harfě 336/9, 190 00 Praha 9 – Vysočany</w:t>
      </w:r>
    </w:p>
    <w:p w14:paraId="3E317701" w14:textId="605D50C3" w:rsidR="00624410" w:rsidRPr="00E503D1" w:rsidRDefault="00624410" w:rsidP="003447AB">
      <w:pPr>
        <w:rPr>
          <w:rFonts w:cs="Segoe UI"/>
          <w:iCs/>
        </w:rPr>
      </w:pPr>
      <w:r w:rsidRPr="00E503D1">
        <w:rPr>
          <w:rFonts w:cs="Segoe UI"/>
        </w:rPr>
        <w:t xml:space="preserve">zastoupena: </w:t>
      </w:r>
      <w:r w:rsidR="000B3236" w:rsidRPr="00E503D1">
        <w:rPr>
          <w:rFonts w:cs="Segoe UI"/>
        </w:rPr>
        <w:t>Ing. Lubomírem Pokorným, Country Manager Environmental, na základě plné moci</w:t>
      </w:r>
    </w:p>
    <w:p w14:paraId="0AAF252D" w14:textId="7B88E744" w:rsidR="00624410" w:rsidRPr="00E503D1" w:rsidRDefault="00624410" w:rsidP="003447AB">
      <w:pPr>
        <w:rPr>
          <w:rFonts w:cs="Segoe UI"/>
        </w:rPr>
      </w:pPr>
      <w:r w:rsidRPr="00E503D1">
        <w:rPr>
          <w:rFonts w:cs="Segoe UI"/>
        </w:rPr>
        <w:t xml:space="preserve">IČ: </w:t>
      </w:r>
      <w:r w:rsidR="000B3236" w:rsidRPr="00E503D1">
        <w:rPr>
          <w:rFonts w:cs="Segoe UI"/>
        </w:rPr>
        <w:t>27407551</w:t>
      </w:r>
    </w:p>
    <w:p w14:paraId="7C31F195" w14:textId="3645DCD0" w:rsidR="00624410" w:rsidRPr="00E503D1" w:rsidRDefault="00624410" w:rsidP="003447AB">
      <w:pPr>
        <w:rPr>
          <w:rFonts w:cs="Segoe UI"/>
          <w:iCs/>
        </w:rPr>
      </w:pPr>
      <w:r w:rsidRPr="00E503D1">
        <w:rPr>
          <w:rFonts w:cs="Segoe UI"/>
        </w:rPr>
        <w:t xml:space="preserve">DIČ: </w:t>
      </w:r>
      <w:r w:rsidR="000B3236" w:rsidRPr="00E503D1">
        <w:rPr>
          <w:rFonts w:cs="Segoe UI"/>
        </w:rPr>
        <w:t>CZ27407551</w:t>
      </w:r>
    </w:p>
    <w:p w14:paraId="230DD0D9" w14:textId="09E5D86C" w:rsidR="00624410" w:rsidRPr="00E503D1" w:rsidRDefault="00624410" w:rsidP="003447AB">
      <w:pPr>
        <w:rPr>
          <w:rFonts w:cs="Segoe UI"/>
        </w:rPr>
      </w:pPr>
      <w:r w:rsidRPr="00E503D1">
        <w:rPr>
          <w:rFonts w:cs="Segoe UI"/>
        </w:rPr>
        <w:t xml:space="preserve">korespondenční adresa: </w:t>
      </w:r>
      <w:r w:rsidR="000B3236" w:rsidRPr="00E503D1">
        <w:rPr>
          <w:rFonts w:cs="Segoe UI"/>
        </w:rPr>
        <w:t>Na Harfě 336/9, 190 00 Praha 9 – Vysočany</w:t>
      </w:r>
    </w:p>
    <w:p w14:paraId="6411E813" w14:textId="522C26F8" w:rsidR="00624410" w:rsidRPr="00E503D1" w:rsidRDefault="00624410" w:rsidP="003447AB">
      <w:pPr>
        <w:rPr>
          <w:rFonts w:cs="Segoe UI"/>
          <w:iCs/>
        </w:rPr>
      </w:pPr>
      <w:r w:rsidRPr="00E503D1">
        <w:rPr>
          <w:rFonts w:cs="Segoe UI"/>
          <w:snapToGrid w:val="0"/>
        </w:rPr>
        <w:t>bankovní spojení:</w:t>
      </w:r>
      <w:r w:rsidRPr="00E503D1">
        <w:rPr>
          <w:rFonts w:cs="Segoe UI"/>
          <w:iCs/>
        </w:rPr>
        <w:t xml:space="preserve"> </w:t>
      </w:r>
      <w:r w:rsidR="000B3236" w:rsidRPr="00E503D1">
        <w:rPr>
          <w:rFonts w:cs="Segoe UI"/>
        </w:rPr>
        <w:t>Komerční banka, a.s.</w:t>
      </w:r>
      <w:r w:rsidRPr="00E503D1">
        <w:rPr>
          <w:rFonts w:cs="Segoe UI"/>
          <w:snapToGrid w:val="0"/>
        </w:rPr>
        <w:t xml:space="preserve">, č. účtu: </w:t>
      </w:r>
      <w:r w:rsidR="000B3236" w:rsidRPr="00E503D1">
        <w:rPr>
          <w:rFonts w:cs="Segoe UI"/>
        </w:rPr>
        <w:t>27-7226650227/0100</w:t>
      </w:r>
    </w:p>
    <w:p w14:paraId="73AB7FA1" w14:textId="77777777" w:rsidR="000367B3" w:rsidRPr="00E503D1" w:rsidRDefault="00624410" w:rsidP="003447AB">
      <w:pPr>
        <w:rPr>
          <w:rFonts w:cs="Segoe UI"/>
          <w:iCs/>
        </w:rPr>
      </w:pPr>
      <w:r w:rsidRPr="00E503D1">
        <w:rPr>
          <w:rFonts w:cs="Segoe UI"/>
          <w:iCs/>
        </w:rPr>
        <w:t>kontaktní osoba pro účely smlouvy:</w:t>
      </w:r>
    </w:p>
    <w:p w14:paraId="1E01198A" w14:textId="45BCBFA8" w:rsidR="00624410" w:rsidRPr="003447AB" w:rsidRDefault="000367B3" w:rsidP="000367B3">
      <w:pPr>
        <w:tabs>
          <w:tab w:val="left" w:pos="284"/>
        </w:tabs>
        <w:rPr>
          <w:rFonts w:cs="Segoe UI"/>
          <w:iCs/>
        </w:rPr>
      </w:pPr>
      <w:r w:rsidRPr="00E503D1">
        <w:rPr>
          <w:rFonts w:cs="Segoe UI"/>
          <w:iCs/>
        </w:rPr>
        <w:tab/>
      </w:r>
      <w:r w:rsidR="006F4EEF" w:rsidRPr="00E503D1">
        <w:rPr>
          <w:rFonts w:cs="Segoe UI"/>
          <w:iCs/>
        </w:rPr>
        <w:t>XXX</w:t>
      </w:r>
      <w:r w:rsidR="00624410" w:rsidRPr="00E503D1">
        <w:rPr>
          <w:rFonts w:cs="Segoe UI"/>
          <w:iCs/>
        </w:rPr>
        <w:t xml:space="preserve">, tel.: </w:t>
      </w:r>
      <w:r w:rsidR="006F4EEF" w:rsidRPr="00E503D1">
        <w:rPr>
          <w:rFonts w:cs="Segoe UI"/>
          <w:iCs/>
        </w:rPr>
        <w:t>XXX</w:t>
      </w:r>
      <w:r w:rsidR="00624410" w:rsidRPr="00E503D1">
        <w:rPr>
          <w:rFonts w:cs="Segoe UI"/>
          <w:iCs/>
        </w:rPr>
        <w:t>, e-mail:</w:t>
      </w:r>
      <w:r w:rsidRPr="00E503D1">
        <w:rPr>
          <w:rFonts w:cs="Segoe UI"/>
          <w:iCs/>
        </w:rPr>
        <w:t xml:space="preserve"> </w:t>
      </w:r>
      <w:r w:rsidR="006F4EEF" w:rsidRPr="00E503D1">
        <w:rPr>
          <w:rFonts w:cs="Segoe UI"/>
          <w:iCs/>
        </w:rPr>
        <w:t>XXX</w:t>
      </w:r>
      <w:r>
        <w:rPr>
          <w:rFonts w:cs="Segoe UI"/>
          <w:iCs/>
        </w:rPr>
        <w:t xml:space="preserve"> </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41371B84"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odpadních vod</w:t>
      </w:r>
      <w:r w:rsidR="00624410" w:rsidRPr="003447AB">
        <w:rPr>
          <w:rFonts w:cs="Segoe UI"/>
        </w:rPr>
        <w:t xml:space="preserve"> – </w:t>
      </w:r>
      <w:r w:rsidR="00D4202D" w:rsidRPr="003447AB">
        <w:rPr>
          <w:rFonts w:cs="Segoe UI"/>
        </w:rPr>
        <w:t>Hlavní město Praha</w:t>
      </w:r>
      <w:r w:rsidR="00065A45" w:rsidRPr="003447AB">
        <w:rPr>
          <w:rFonts w:cs="Segoe UI"/>
        </w:rPr>
        <w:t xml:space="preserve"> </w:t>
      </w:r>
      <w:r w:rsidRPr="003447AB">
        <w:rPr>
          <w:rFonts w:cs="Segoe UI"/>
        </w:rPr>
        <w:t xml:space="preserve">(dále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typ A – 2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CHSK</w:t>
      </w:r>
      <w:r w:rsidRPr="003447AB">
        <w:rPr>
          <w:rFonts w:cs="Segoe UI"/>
          <w:vertAlign w:val="subscript"/>
        </w:rPr>
        <w:t>Cr</w:t>
      </w:r>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typ B – 24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typ C – 24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r w:rsidRPr="003447AB">
        <w:rPr>
          <w:rFonts w:cs="Segoe UI"/>
        </w:rPr>
        <w:t>CHSK</w:t>
      </w:r>
      <w:r w:rsidRPr="003447AB">
        <w:rPr>
          <w:rFonts w:cs="Segoe UI"/>
          <w:vertAlign w:val="subscript"/>
        </w:rPr>
        <w:t>Cr</w:t>
      </w:r>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r w:rsidRPr="003447AB">
        <w:rPr>
          <w:rFonts w:cs="Segoe UI"/>
        </w:rPr>
        <w:t>N</w:t>
      </w:r>
      <w:r w:rsidRPr="003447AB">
        <w:rPr>
          <w:rFonts w:cs="Segoe UI"/>
          <w:vertAlign w:val="subscript"/>
        </w:rPr>
        <w:t>anorg.</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r w:rsidRPr="003447AB">
        <w:rPr>
          <w:rFonts w:cs="Segoe UI"/>
        </w:rPr>
        <w:t>P</w:t>
      </w:r>
      <w:r w:rsidRPr="003447AB">
        <w:rPr>
          <w:rFonts w:cs="Segoe UI"/>
          <w:vertAlign w:val="subscript"/>
        </w:rPr>
        <w:t>celk.</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r w:rsidRPr="003447AB">
        <w:rPr>
          <w:rFonts w:cs="Segoe UI"/>
        </w:rPr>
        <w:t>Hg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20E667B9" w:rsidR="00C429FC" w:rsidRPr="003447AB"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je </w:t>
      </w:r>
      <w:r w:rsidR="00D4202D" w:rsidRPr="003447AB">
        <w:rPr>
          <w:rFonts w:cs="Segoe UI"/>
          <w:b/>
          <w:bCs/>
        </w:rPr>
        <w:t>Hlavní město Praha</w:t>
      </w:r>
      <w:r w:rsidR="00412864" w:rsidRPr="003447AB">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pdf)</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jednotková cena za analýzu ukazatele znečištění CHSK</w:t>
      </w:r>
      <w:r w:rsidRPr="003447AB">
        <w:rPr>
          <w:rFonts w:cs="Segoe UI"/>
          <w:b/>
          <w:vertAlign w:val="subscript"/>
        </w:rPr>
        <w:t>Cr</w:t>
      </w:r>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jednotková cena za analýzu ukazatele znečištění N</w:t>
      </w:r>
      <w:r w:rsidRPr="003447AB">
        <w:rPr>
          <w:rFonts w:cs="Segoe UI"/>
          <w:b/>
          <w:vertAlign w:val="subscript"/>
        </w:rPr>
        <w:t>anorg.</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jednotková cena za analýzu ukazatele znečištění P</w:t>
      </w:r>
      <w:r w:rsidRPr="003447AB">
        <w:rPr>
          <w:rFonts w:cs="Segoe UI"/>
          <w:b/>
          <w:vertAlign w:val="subscript"/>
        </w:rPr>
        <w:t>celk.</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jednotková cena za analýzu ukazatele znečištění Hg</w:t>
      </w:r>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3DA9D60C"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594492" w:rsidRPr="003447AB">
        <w:rPr>
          <w:rFonts w:cs="Segoe UI"/>
          <w:b/>
        </w:rPr>
        <w:t>71.920</w:t>
      </w:r>
      <w:r w:rsidR="00217EF0" w:rsidRPr="003447AB">
        <w:rPr>
          <w:rFonts w:cs="Segoe UI"/>
          <w:b/>
        </w:rPr>
        <w:t xml:space="preserve"> </w:t>
      </w:r>
      <w:r w:rsidR="008E7DA0" w:rsidRPr="003447AB">
        <w:rPr>
          <w:rFonts w:cs="Segoe UI"/>
          <w:b/>
        </w:rPr>
        <w:t>Kč bez DPH</w:t>
      </w:r>
      <w:r w:rsidR="00B612A0" w:rsidRPr="003447AB">
        <w:rPr>
          <w:rFonts w:cs="Segoe UI"/>
        </w:rPr>
        <w:t xml:space="preserve"> </w:t>
      </w:r>
      <w:r w:rsidR="00057275" w:rsidRPr="003447AB">
        <w:rPr>
          <w:rFonts w:cs="Segoe UI"/>
        </w:rPr>
        <w:t xml:space="preserve">a </w:t>
      </w:r>
      <w:r w:rsidR="00B612A0" w:rsidRPr="003447AB">
        <w:rPr>
          <w:rFonts w:cs="Segoe UI"/>
        </w:rPr>
        <w:t>je</w:t>
      </w:r>
      <w:r w:rsidR="000D2DBC" w:rsidRPr="003447AB">
        <w:rPr>
          <w:rFonts w:cs="Segoe UI"/>
        </w:rPr>
        <w:t xml:space="preserve"> stanovena</w:t>
      </w:r>
      <w:r w:rsidR="00B612A0" w:rsidRPr="003447AB">
        <w:rPr>
          <w:rFonts w:cs="Segoe UI"/>
        </w:rPr>
        <w:t xml:space="preserve"> </w:t>
      </w:r>
      <w:r w:rsidR="000D2DBC" w:rsidRPr="003447AB">
        <w:rPr>
          <w:rFonts w:cs="Segoe UI"/>
        </w:rPr>
        <w:t xml:space="preserve">s ohledem na předpokládaný rozsah služeb vzhledem k počtu zpoplatněných zdrojů odpadní vody nacházejících se na území </w:t>
      </w:r>
      <w:r w:rsidR="00043BBA" w:rsidRPr="003447AB">
        <w:rPr>
          <w:rFonts w:cs="Segoe UI"/>
        </w:rPr>
        <w:t>daného</w:t>
      </w:r>
      <w:r w:rsidR="000D2DBC" w:rsidRPr="003447AB">
        <w:rPr>
          <w:rFonts w:cs="Segoe UI"/>
        </w:rPr>
        <w:t xml:space="preserve"> kraj</w:t>
      </w:r>
      <w:r w:rsidR="00043BBA" w:rsidRPr="003447AB">
        <w:rPr>
          <w:rFonts w:cs="Segoe UI"/>
        </w:rPr>
        <w:t>e</w:t>
      </w:r>
      <w:r w:rsidR="00B612A0" w:rsidRPr="003447AB">
        <w:rPr>
          <w:rFonts w:cs="Segoe UI"/>
        </w:rPr>
        <w:t xml:space="preserve">, </w:t>
      </w:r>
      <w:r w:rsidR="00217EF0" w:rsidRPr="003447AB">
        <w:rPr>
          <w:rFonts w:cs="Segoe UI"/>
        </w:rPr>
        <w:t xml:space="preserve">přičemž </w:t>
      </w:r>
      <w:r w:rsidR="00D06A40" w:rsidRPr="003447AB">
        <w:rPr>
          <w:rFonts w:cs="Segoe UI"/>
        </w:rPr>
        <w:t>SFŽP ČR</w:t>
      </w:r>
      <w:r w:rsidR="00217EF0" w:rsidRPr="003447AB">
        <w:rPr>
          <w:rFonts w:cs="Segoe UI"/>
        </w:rPr>
        <w:t xml:space="preserve"> není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342A2929" w:rsidR="004D17B2" w:rsidRPr="003447AB" w:rsidRDefault="00594492" w:rsidP="003447AB">
            <w:pPr>
              <w:pStyle w:val="Odstavecseseznamem"/>
              <w:numPr>
                <w:ilvl w:val="0"/>
                <w:numId w:val="0"/>
              </w:numPr>
              <w:spacing w:before="0"/>
              <w:jc w:val="center"/>
              <w:rPr>
                <w:rFonts w:cs="Segoe UI"/>
              </w:rPr>
            </w:pPr>
            <w:r w:rsidRPr="003447AB">
              <w:rPr>
                <w:rFonts w:cs="Segoe UI"/>
              </w:rPr>
              <w:t>17.980</w:t>
            </w:r>
          </w:p>
        </w:tc>
      </w:tr>
      <w:tr w:rsidR="00594492" w:rsidRPr="003447AB" w14:paraId="2CADEA35" w14:textId="77777777" w:rsidTr="00043BBA">
        <w:tc>
          <w:tcPr>
            <w:tcW w:w="1645" w:type="dxa"/>
          </w:tcPr>
          <w:p w14:paraId="294734EB" w14:textId="749B129B" w:rsidR="00594492" w:rsidRPr="003447AB" w:rsidRDefault="00594492" w:rsidP="003447AB">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594492" w:rsidRPr="003447AB" w:rsidRDefault="00594492" w:rsidP="003447AB">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594492" w:rsidRPr="003447AB" w:rsidRDefault="00594492" w:rsidP="003447AB">
            <w:pPr>
              <w:pStyle w:val="Odstavecseseznamem"/>
              <w:numPr>
                <w:ilvl w:val="0"/>
                <w:numId w:val="0"/>
              </w:numPr>
              <w:spacing w:before="0"/>
              <w:jc w:val="center"/>
              <w:rPr>
                <w:rFonts w:cs="Segoe UI"/>
              </w:rPr>
            </w:pPr>
            <w:r w:rsidRPr="003447AB">
              <w:rPr>
                <w:rFonts w:cs="Segoe UI"/>
              </w:rPr>
              <w:t>25 %</w:t>
            </w:r>
          </w:p>
        </w:tc>
        <w:tc>
          <w:tcPr>
            <w:tcW w:w="3339" w:type="dxa"/>
          </w:tcPr>
          <w:p w14:paraId="15886596" w14:textId="029F2414" w:rsidR="00594492" w:rsidRPr="003447AB" w:rsidRDefault="00594492" w:rsidP="003447AB">
            <w:pPr>
              <w:pStyle w:val="Odstavecseseznamem"/>
              <w:numPr>
                <w:ilvl w:val="0"/>
                <w:numId w:val="0"/>
              </w:numPr>
              <w:spacing w:before="0"/>
              <w:jc w:val="center"/>
              <w:rPr>
                <w:rFonts w:cs="Segoe UI"/>
              </w:rPr>
            </w:pPr>
            <w:r w:rsidRPr="003447AB">
              <w:rPr>
                <w:rFonts w:cs="Segoe UI"/>
              </w:rPr>
              <w:t>17.980</w:t>
            </w:r>
          </w:p>
        </w:tc>
      </w:tr>
      <w:tr w:rsidR="00594492" w:rsidRPr="003447AB" w14:paraId="5A8CB490" w14:textId="77777777" w:rsidTr="00043BBA">
        <w:tc>
          <w:tcPr>
            <w:tcW w:w="1645" w:type="dxa"/>
          </w:tcPr>
          <w:p w14:paraId="26FECE5E" w14:textId="588A2D29" w:rsidR="00594492" w:rsidRPr="003447AB" w:rsidRDefault="00594492" w:rsidP="003447AB">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594492" w:rsidRPr="003447AB" w:rsidRDefault="00594492" w:rsidP="003447AB">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594492" w:rsidRPr="003447AB" w:rsidRDefault="00594492" w:rsidP="003447AB">
            <w:pPr>
              <w:pStyle w:val="Odstavecseseznamem"/>
              <w:numPr>
                <w:ilvl w:val="0"/>
                <w:numId w:val="0"/>
              </w:numPr>
              <w:spacing w:before="0"/>
              <w:jc w:val="center"/>
              <w:rPr>
                <w:rFonts w:cs="Segoe UI"/>
              </w:rPr>
            </w:pPr>
            <w:r w:rsidRPr="003447AB">
              <w:rPr>
                <w:rFonts w:cs="Segoe UI"/>
              </w:rPr>
              <w:t>25 %</w:t>
            </w:r>
          </w:p>
        </w:tc>
        <w:tc>
          <w:tcPr>
            <w:tcW w:w="3339" w:type="dxa"/>
          </w:tcPr>
          <w:p w14:paraId="0C3B5085" w14:textId="2AD92F55" w:rsidR="00594492" w:rsidRPr="003447AB" w:rsidRDefault="00594492" w:rsidP="003447AB">
            <w:pPr>
              <w:pStyle w:val="Odstavecseseznamem"/>
              <w:numPr>
                <w:ilvl w:val="0"/>
                <w:numId w:val="0"/>
              </w:numPr>
              <w:spacing w:before="0"/>
              <w:jc w:val="center"/>
              <w:rPr>
                <w:rFonts w:cs="Segoe UI"/>
              </w:rPr>
            </w:pPr>
            <w:r w:rsidRPr="003447AB">
              <w:rPr>
                <w:rFonts w:cs="Segoe UI"/>
              </w:rPr>
              <w:t>17.980</w:t>
            </w:r>
          </w:p>
        </w:tc>
      </w:tr>
      <w:tr w:rsidR="00594492" w:rsidRPr="003447AB" w14:paraId="6C401E0C" w14:textId="77777777" w:rsidTr="00043BBA">
        <w:tc>
          <w:tcPr>
            <w:tcW w:w="1645" w:type="dxa"/>
          </w:tcPr>
          <w:p w14:paraId="15358336" w14:textId="348A061B" w:rsidR="00594492" w:rsidRPr="003447AB" w:rsidRDefault="00594492" w:rsidP="003447AB">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594492" w:rsidRPr="003447AB" w:rsidRDefault="00594492" w:rsidP="003447AB">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594492" w:rsidRPr="003447AB" w:rsidRDefault="00594492" w:rsidP="003447AB">
            <w:pPr>
              <w:pStyle w:val="Odstavecseseznamem"/>
              <w:numPr>
                <w:ilvl w:val="0"/>
                <w:numId w:val="0"/>
              </w:numPr>
              <w:spacing w:before="0"/>
              <w:jc w:val="center"/>
              <w:rPr>
                <w:rFonts w:cs="Segoe UI"/>
              </w:rPr>
            </w:pPr>
            <w:r w:rsidRPr="003447AB">
              <w:rPr>
                <w:rFonts w:cs="Segoe UI"/>
              </w:rPr>
              <w:t>25 %</w:t>
            </w:r>
          </w:p>
        </w:tc>
        <w:tc>
          <w:tcPr>
            <w:tcW w:w="3339" w:type="dxa"/>
          </w:tcPr>
          <w:p w14:paraId="0F0920E8" w14:textId="496A3220" w:rsidR="00594492" w:rsidRPr="003447AB" w:rsidRDefault="00594492" w:rsidP="003447AB">
            <w:pPr>
              <w:pStyle w:val="Odstavecseseznamem"/>
              <w:numPr>
                <w:ilvl w:val="0"/>
                <w:numId w:val="0"/>
              </w:numPr>
              <w:spacing w:before="0"/>
              <w:jc w:val="center"/>
              <w:rPr>
                <w:rFonts w:cs="Segoe UI"/>
                <w:highlight w:val="lightGray"/>
              </w:rPr>
            </w:pPr>
            <w:r w:rsidRPr="003447AB">
              <w:rPr>
                <w:rFonts w:cs="Segoe UI"/>
              </w:rPr>
              <w:t>17.980</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0147E4A1" w:rsidR="000F4BD2" w:rsidRPr="003447AB" w:rsidRDefault="00594492" w:rsidP="003447AB">
            <w:pPr>
              <w:pStyle w:val="Odstavecseseznamem"/>
              <w:numPr>
                <w:ilvl w:val="0"/>
                <w:numId w:val="0"/>
              </w:numPr>
              <w:spacing w:before="0"/>
              <w:jc w:val="center"/>
              <w:rPr>
                <w:rFonts w:cs="Segoe UI"/>
                <w:b/>
                <w:bCs/>
              </w:rPr>
            </w:pPr>
            <w:r w:rsidRPr="003447AB">
              <w:rPr>
                <w:rFonts w:cs="Segoe UI"/>
                <w:b/>
                <w:bCs/>
              </w:rPr>
              <w:t>71.920</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7B07B1FD"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3447AB">
        <w:rPr>
          <w:rFonts w:cs="Segoe UI"/>
          <w:szCs w:val="18"/>
        </w:rPr>
        <w:t xml:space="preserve">: </w:t>
      </w:r>
      <w:r w:rsidR="007F6323">
        <w:rPr>
          <w:rFonts w:cs="Segoe UI"/>
          <w:szCs w:val="18"/>
        </w:rPr>
        <w:t>502/2024</w:t>
      </w:r>
      <w:r w:rsidRPr="003447AB">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CHSKCr, N-NO2-, N-NH4+ a 4N-NO3-, Pcelk., Cd nejvýše 15 %, u stanovení RAS nejvýše 10 % a u stanovení NL, Hg,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takovou, aby rozšířená kombinovaná nejistota výsledku byla v případě stanovení CHSK</w:t>
      </w:r>
      <w:r w:rsidR="00CE28B6" w:rsidRPr="003447AB">
        <w:rPr>
          <w:rFonts w:cs="Segoe UI"/>
          <w:vertAlign w:val="subscript"/>
        </w:rPr>
        <w:t>Cr</w:t>
      </w:r>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P</w:t>
      </w:r>
      <w:r w:rsidR="00CE28B6" w:rsidRPr="003447AB">
        <w:rPr>
          <w:rFonts w:cs="Segoe UI"/>
          <w:vertAlign w:val="subscript"/>
        </w:rPr>
        <w:t>celk.</w:t>
      </w:r>
      <w:r w:rsidR="00CE28B6" w:rsidRPr="003447AB">
        <w:rPr>
          <w:rFonts w:cs="Segoe UI"/>
        </w:rPr>
        <w:t xml:space="preserve">, Cd nejvýše 15 %, u stanovení RAS nejvýše 10 % a u stanovení NL, Hg,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963487">
        <w:rPr>
          <w:rFonts w:cs="Segoe UI"/>
          <w:bCs/>
        </w:rPr>
        <w:t xml:space="preserve">, nejdříve však </w:t>
      </w:r>
      <w:r w:rsidR="009956BE" w:rsidRPr="00963487">
        <w:rPr>
          <w:rFonts w:cs="Segoe UI"/>
          <w:bCs/>
        </w:rPr>
        <w:t>1. 1. 20</w:t>
      </w:r>
      <w:r w:rsidR="004F484D" w:rsidRPr="00963487">
        <w:rPr>
          <w:rFonts w:cs="Segoe UI"/>
          <w:bCs/>
        </w:rPr>
        <w:t>2</w:t>
      </w:r>
      <w:r w:rsidR="000209F5" w:rsidRPr="00963487">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(xl</w:t>
      </w:r>
      <w:r w:rsidR="00FE372E" w:rsidRPr="003447AB">
        <w:rPr>
          <w:rFonts w:cs="Segoe UI"/>
          <w:szCs w:val="20"/>
        </w:rPr>
        <w:t>s</w:t>
      </w:r>
      <w:r w:rsidR="00FD4AED" w:rsidRPr="003447AB">
        <w:rPr>
          <w:rFonts w:cs="Segoe UI"/>
          <w:szCs w:val="20"/>
        </w:rPr>
        <w:t>x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(xl</w:t>
      </w:r>
      <w:r w:rsidR="00FE372E" w:rsidRPr="003447AB">
        <w:rPr>
          <w:rFonts w:cs="Segoe UI"/>
          <w:szCs w:val="20"/>
        </w:rPr>
        <w:t>s</w:t>
      </w:r>
      <w:r w:rsidR="00FD4AED" w:rsidRPr="003447AB">
        <w:rPr>
          <w:rFonts w:cs="Segoe UI"/>
          <w:szCs w:val="20"/>
        </w:rPr>
        <w:t>x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(docx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Country Manager Environmental</w:t>
      </w:r>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5220" w14:textId="77777777" w:rsidR="00C86BEF" w:rsidRDefault="00C86BEF" w:rsidP="002919BE">
      <w:r>
        <w:separator/>
      </w:r>
    </w:p>
  </w:endnote>
  <w:endnote w:type="continuationSeparator" w:id="0">
    <w:p w14:paraId="6AC72C99" w14:textId="77777777" w:rsidR="00C86BEF" w:rsidRDefault="00C86BEF"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CF24" w14:textId="77777777" w:rsidR="00C86BEF" w:rsidRDefault="00C86BEF" w:rsidP="002919BE">
      <w:r>
        <w:separator/>
      </w:r>
    </w:p>
  </w:footnote>
  <w:footnote w:type="continuationSeparator" w:id="0">
    <w:p w14:paraId="31DB44CA" w14:textId="77777777" w:rsidR="00C86BEF" w:rsidRDefault="00C86BEF"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67B3"/>
    <w:rsid w:val="000371AB"/>
    <w:rsid w:val="00043BBA"/>
    <w:rsid w:val="00043FEA"/>
    <w:rsid w:val="00057275"/>
    <w:rsid w:val="000572A0"/>
    <w:rsid w:val="000622C7"/>
    <w:rsid w:val="0006484C"/>
    <w:rsid w:val="00065A45"/>
    <w:rsid w:val="0006670D"/>
    <w:rsid w:val="00070DBE"/>
    <w:rsid w:val="00080610"/>
    <w:rsid w:val="00087E80"/>
    <w:rsid w:val="00094E6B"/>
    <w:rsid w:val="00096276"/>
    <w:rsid w:val="00096FBB"/>
    <w:rsid w:val="000A1085"/>
    <w:rsid w:val="000A3BEA"/>
    <w:rsid w:val="000B3236"/>
    <w:rsid w:val="000B380C"/>
    <w:rsid w:val="000B40CA"/>
    <w:rsid w:val="000C437D"/>
    <w:rsid w:val="000C4407"/>
    <w:rsid w:val="000C5E23"/>
    <w:rsid w:val="000D2DBC"/>
    <w:rsid w:val="000D6BBA"/>
    <w:rsid w:val="000D6E0A"/>
    <w:rsid w:val="000D7882"/>
    <w:rsid w:val="000E193B"/>
    <w:rsid w:val="000E3F65"/>
    <w:rsid w:val="000E496F"/>
    <w:rsid w:val="000E5398"/>
    <w:rsid w:val="000F02D3"/>
    <w:rsid w:val="000F216D"/>
    <w:rsid w:val="000F27DB"/>
    <w:rsid w:val="000F4BD2"/>
    <w:rsid w:val="00101E1C"/>
    <w:rsid w:val="0010434E"/>
    <w:rsid w:val="001059C3"/>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20543A"/>
    <w:rsid w:val="0021110F"/>
    <w:rsid w:val="0021228C"/>
    <w:rsid w:val="00213F7F"/>
    <w:rsid w:val="0021442E"/>
    <w:rsid w:val="0021727B"/>
    <w:rsid w:val="00217EF0"/>
    <w:rsid w:val="00222550"/>
    <w:rsid w:val="00231797"/>
    <w:rsid w:val="002328D5"/>
    <w:rsid w:val="002366F0"/>
    <w:rsid w:val="0023722D"/>
    <w:rsid w:val="00242085"/>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955"/>
    <w:rsid w:val="002F0101"/>
    <w:rsid w:val="002F24C9"/>
    <w:rsid w:val="002F7BD4"/>
    <w:rsid w:val="00300C0C"/>
    <w:rsid w:val="00303C43"/>
    <w:rsid w:val="00303FD9"/>
    <w:rsid w:val="00310257"/>
    <w:rsid w:val="00313318"/>
    <w:rsid w:val="00327EFB"/>
    <w:rsid w:val="00330F7F"/>
    <w:rsid w:val="0033107B"/>
    <w:rsid w:val="00337685"/>
    <w:rsid w:val="003447AB"/>
    <w:rsid w:val="0034672F"/>
    <w:rsid w:val="00354246"/>
    <w:rsid w:val="0036704E"/>
    <w:rsid w:val="00367E1A"/>
    <w:rsid w:val="00371BB7"/>
    <w:rsid w:val="00373946"/>
    <w:rsid w:val="00374D0E"/>
    <w:rsid w:val="003751C9"/>
    <w:rsid w:val="00386C44"/>
    <w:rsid w:val="00387A78"/>
    <w:rsid w:val="0039241A"/>
    <w:rsid w:val="00393310"/>
    <w:rsid w:val="00396663"/>
    <w:rsid w:val="003A077B"/>
    <w:rsid w:val="003A2422"/>
    <w:rsid w:val="003A5D19"/>
    <w:rsid w:val="003B330A"/>
    <w:rsid w:val="003C3804"/>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35E7"/>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31AB"/>
    <w:rsid w:val="005667AB"/>
    <w:rsid w:val="0058049B"/>
    <w:rsid w:val="00581FFF"/>
    <w:rsid w:val="00585389"/>
    <w:rsid w:val="00591A92"/>
    <w:rsid w:val="00594492"/>
    <w:rsid w:val="005A0128"/>
    <w:rsid w:val="005B2890"/>
    <w:rsid w:val="005C0017"/>
    <w:rsid w:val="005C0CB0"/>
    <w:rsid w:val="005C5619"/>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78A3"/>
    <w:rsid w:val="0068286E"/>
    <w:rsid w:val="006A1458"/>
    <w:rsid w:val="006A1809"/>
    <w:rsid w:val="006A3208"/>
    <w:rsid w:val="006A4E6C"/>
    <w:rsid w:val="006A6853"/>
    <w:rsid w:val="006B5919"/>
    <w:rsid w:val="006B6B39"/>
    <w:rsid w:val="006C1313"/>
    <w:rsid w:val="006C2945"/>
    <w:rsid w:val="006C4344"/>
    <w:rsid w:val="006C6873"/>
    <w:rsid w:val="006D4A72"/>
    <w:rsid w:val="006D7F6E"/>
    <w:rsid w:val="006E6259"/>
    <w:rsid w:val="006F4EEF"/>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191F"/>
    <w:rsid w:val="007836F6"/>
    <w:rsid w:val="00790E99"/>
    <w:rsid w:val="0079583F"/>
    <w:rsid w:val="007959F8"/>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0E4B"/>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897"/>
    <w:rsid w:val="008A2C6B"/>
    <w:rsid w:val="008A3F59"/>
    <w:rsid w:val="008A5C65"/>
    <w:rsid w:val="008A618F"/>
    <w:rsid w:val="008A6C2D"/>
    <w:rsid w:val="008B3EA9"/>
    <w:rsid w:val="008B6B65"/>
    <w:rsid w:val="008C2981"/>
    <w:rsid w:val="008C3015"/>
    <w:rsid w:val="008D1E27"/>
    <w:rsid w:val="008D6A87"/>
    <w:rsid w:val="008E0536"/>
    <w:rsid w:val="008E6B14"/>
    <w:rsid w:val="008E7552"/>
    <w:rsid w:val="008E7DA0"/>
    <w:rsid w:val="008F06AB"/>
    <w:rsid w:val="008F207A"/>
    <w:rsid w:val="008F292F"/>
    <w:rsid w:val="008F2A7E"/>
    <w:rsid w:val="008F79E8"/>
    <w:rsid w:val="00900624"/>
    <w:rsid w:val="009009FD"/>
    <w:rsid w:val="0090127A"/>
    <w:rsid w:val="00902319"/>
    <w:rsid w:val="009052EA"/>
    <w:rsid w:val="00913B22"/>
    <w:rsid w:val="00914FFE"/>
    <w:rsid w:val="00915E54"/>
    <w:rsid w:val="0092136C"/>
    <w:rsid w:val="00927CDF"/>
    <w:rsid w:val="00931928"/>
    <w:rsid w:val="009343D8"/>
    <w:rsid w:val="00935163"/>
    <w:rsid w:val="00935FD1"/>
    <w:rsid w:val="009419CA"/>
    <w:rsid w:val="009424E3"/>
    <w:rsid w:val="00942A29"/>
    <w:rsid w:val="00944AC8"/>
    <w:rsid w:val="0095505C"/>
    <w:rsid w:val="00955B1A"/>
    <w:rsid w:val="00963487"/>
    <w:rsid w:val="00964E4E"/>
    <w:rsid w:val="0096631D"/>
    <w:rsid w:val="009720DC"/>
    <w:rsid w:val="00972B5C"/>
    <w:rsid w:val="009746A0"/>
    <w:rsid w:val="009813E2"/>
    <w:rsid w:val="00983C4B"/>
    <w:rsid w:val="009956BE"/>
    <w:rsid w:val="009975D9"/>
    <w:rsid w:val="009A3B4B"/>
    <w:rsid w:val="009A7E31"/>
    <w:rsid w:val="009B1C8D"/>
    <w:rsid w:val="009C36C9"/>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2F00"/>
    <w:rsid w:val="00AA3A64"/>
    <w:rsid w:val="00AA3C49"/>
    <w:rsid w:val="00AA7C55"/>
    <w:rsid w:val="00AB18B3"/>
    <w:rsid w:val="00AB3300"/>
    <w:rsid w:val="00AB335F"/>
    <w:rsid w:val="00AB3BD1"/>
    <w:rsid w:val="00AB46D3"/>
    <w:rsid w:val="00AB4B3E"/>
    <w:rsid w:val="00AB5F08"/>
    <w:rsid w:val="00AC6F43"/>
    <w:rsid w:val="00AC7D00"/>
    <w:rsid w:val="00AD232A"/>
    <w:rsid w:val="00AD4B24"/>
    <w:rsid w:val="00AD62CB"/>
    <w:rsid w:val="00AE388F"/>
    <w:rsid w:val="00AE3B66"/>
    <w:rsid w:val="00AE59D1"/>
    <w:rsid w:val="00AF474A"/>
    <w:rsid w:val="00B00701"/>
    <w:rsid w:val="00B007B9"/>
    <w:rsid w:val="00B01161"/>
    <w:rsid w:val="00B0244A"/>
    <w:rsid w:val="00B060F5"/>
    <w:rsid w:val="00B06958"/>
    <w:rsid w:val="00B15290"/>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74C2"/>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303F"/>
    <w:rsid w:val="00C243F7"/>
    <w:rsid w:val="00C4192A"/>
    <w:rsid w:val="00C429FC"/>
    <w:rsid w:val="00C4324F"/>
    <w:rsid w:val="00C437B1"/>
    <w:rsid w:val="00C451D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515F"/>
    <w:rsid w:val="00CE28B6"/>
    <w:rsid w:val="00CE28CE"/>
    <w:rsid w:val="00CF13BD"/>
    <w:rsid w:val="00CF1BED"/>
    <w:rsid w:val="00CF2608"/>
    <w:rsid w:val="00D04E57"/>
    <w:rsid w:val="00D05068"/>
    <w:rsid w:val="00D05996"/>
    <w:rsid w:val="00D06A40"/>
    <w:rsid w:val="00D1541C"/>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43DE"/>
    <w:rsid w:val="00DC5BE1"/>
    <w:rsid w:val="00DC6514"/>
    <w:rsid w:val="00DD05B1"/>
    <w:rsid w:val="00DD1CFC"/>
    <w:rsid w:val="00DE0648"/>
    <w:rsid w:val="00DE7207"/>
    <w:rsid w:val="00DF33C6"/>
    <w:rsid w:val="00DF4419"/>
    <w:rsid w:val="00DF4E23"/>
    <w:rsid w:val="00DF6B61"/>
    <w:rsid w:val="00E02CB0"/>
    <w:rsid w:val="00E04E81"/>
    <w:rsid w:val="00E05358"/>
    <w:rsid w:val="00E06BED"/>
    <w:rsid w:val="00E07931"/>
    <w:rsid w:val="00E121E9"/>
    <w:rsid w:val="00E133B8"/>
    <w:rsid w:val="00E13836"/>
    <w:rsid w:val="00E17D0E"/>
    <w:rsid w:val="00E23BA4"/>
    <w:rsid w:val="00E24084"/>
    <w:rsid w:val="00E25075"/>
    <w:rsid w:val="00E25B38"/>
    <w:rsid w:val="00E34671"/>
    <w:rsid w:val="00E4533E"/>
    <w:rsid w:val="00E45495"/>
    <w:rsid w:val="00E45528"/>
    <w:rsid w:val="00E501A8"/>
    <w:rsid w:val="00E503D1"/>
    <w:rsid w:val="00E5315A"/>
    <w:rsid w:val="00E54577"/>
    <w:rsid w:val="00E573C8"/>
    <w:rsid w:val="00E62959"/>
    <w:rsid w:val="00E64F68"/>
    <w:rsid w:val="00E757C4"/>
    <w:rsid w:val="00E760E7"/>
    <w:rsid w:val="00E83FC2"/>
    <w:rsid w:val="00E90F83"/>
    <w:rsid w:val="00E948BD"/>
    <w:rsid w:val="00EB1576"/>
    <w:rsid w:val="00EB46D6"/>
    <w:rsid w:val="00EB4A85"/>
    <w:rsid w:val="00EB58F0"/>
    <w:rsid w:val="00EB6FC7"/>
    <w:rsid w:val="00ED0039"/>
    <w:rsid w:val="00ED2661"/>
    <w:rsid w:val="00ED6A3E"/>
    <w:rsid w:val="00ED6FA0"/>
    <w:rsid w:val="00EF64B7"/>
    <w:rsid w:val="00F02675"/>
    <w:rsid w:val="00F20DAF"/>
    <w:rsid w:val="00F227E7"/>
    <w:rsid w:val="00F23BB0"/>
    <w:rsid w:val="00F26892"/>
    <w:rsid w:val="00F27B5C"/>
    <w:rsid w:val="00F37FA0"/>
    <w:rsid w:val="00F43D86"/>
    <w:rsid w:val="00F43E43"/>
    <w:rsid w:val="00F44E85"/>
    <w:rsid w:val="00F47E13"/>
    <w:rsid w:val="00F5647C"/>
    <w:rsid w:val="00F61B0A"/>
    <w:rsid w:val="00F82FD2"/>
    <w:rsid w:val="00F847E1"/>
    <w:rsid w:val="00F84C41"/>
    <w:rsid w:val="00F914BF"/>
    <w:rsid w:val="00F92AD6"/>
    <w:rsid w:val="00F92CB9"/>
    <w:rsid w:val="00F92F85"/>
    <w:rsid w:val="00F93380"/>
    <w:rsid w:val="00F9350D"/>
    <w:rsid w:val="00F9649E"/>
    <w:rsid w:val="00FA02AC"/>
    <w:rsid w:val="00FA54F1"/>
    <w:rsid w:val="00FA54F9"/>
    <w:rsid w:val="00FA5DDD"/>
    <w:rsid w:val="00FA6456"/>
    <w:rsid w:val="00FB6C71"/>
    <w:rsid w:val="00FB755D"/>
    <w:rsid w:val="00FC3010"/>
    <w:rsid w:val="00FC7EE0"/>
    <w:rsid w:val="00FD0A5C"/>
    <w:rsid w:val="00FD3FA0"/>
    <w:rsid w:val="00FD4AED"/>
    <w:rsid w:val="00FD6D79"/>
    <w:rsid w:val="00FE1B44"/>
    <w:rsid w:val="00FE372E"/>
    <w:rsid w:val="00FE40E2"/>
    <w:rsid w:val="00FE5BD3"/>
    <w:rsid w:val="00FF1677"/>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5165</Words>
  <Characters>30479</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12</cp:revision>
  <cp:lastPrinted>2025-01-09T07:27:00Z</cp:lastPrinted>
  <dcterms:created xsi:type="dcterms:W3CDTF">2024-12-10T07:58:00Z</dcterms:created>
  <dcterms:modified xsi:type="dcterms:W3CDTF">2025-01-21T09:25:00Z</dcterms:modified>
</cp:coreProperties>
</file>