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D4" w:rsidRDefault="006F1AD4" w:rsidP="006F1AD4">
      <w:pPr>
        <w:pStyle w:val="Zkladntextodsazen"/>
        <w:jc w:val="center"/>
      </w:pPr>
      <w:r>
        <w:rPr>
          <w:w w:val="150"/>
          <w:szCs w:val="28"/>
        </w:rPr>
        <w:t>Dodatek číslo 2 k Rámcové kupní smlouvě</w:t>
      </w:r>
    </w:p>
    <w:p w:rsidR="006F1AD4" w:rsidRDefault="006F1AD4" w:rsidP="006F1AD4">
      <w:pPr>
        <w:pStyle w:val="Zkladntextodsazen"/>
        <w:jc w:val="center"/>
      </w:pPr>
      <w:r>
        <w:rPr>
          <w:w w:val="150"/>
          <w:szCs w:val="28"/>
        </w:rPr>
        <w:t>na dodávky kapalného chloru č. B 127/2017</w:t>
      </w:r>
    </w:p>
    <w:p w:rsidR="006F1AD4" w:rsidRDefault="006F1AD4" w:rsidP="006F1AD4">
      <w:pPr>
        <w:pStyle w:val="Normlnodsazen1"/>
        <w:ind w:left="0"/>
        <w:rPr>
          <w:b/>
          <w:szCs w:val="22"/>
        </w:rPr>
      </w:pPr>
    </w:p>
    <w:p w:rsidR="006F1AD4" w:rsidRDefault="006F1AD4" w:rsidP="006F1AD4">
      <w:pPr>
        <w:pStyle w:val="Normlnodsazen1"/>
        <w:ind w:left="284" w:hanging="284"/>
      </w:pPr>
      <w:r>
        <w:rPr>
          <w:b/>
          <w:szCs w:val="22"/>
        </w:rPr>
        <w:tab/>
        <w:t>GHC Invest, s.r.o., se sídlem Korunovační 6/103, 170 00 Praha 7</w:t>
      </w:r>
    </w:p>
    <w:p w:rsidR="006F1AD4" w:rsidRDefault="006F1AD4" w:rsidP="006F1AD4">
      <w:pPr>
        <w:pStyle w:val="Normlnodsazen1"/>
        <w:ind w:left="284"/>
      </w:pPr>
      <w:r>
        <w:rPr>
          <w:bCs/>
          <w:szCs w:val="22"/>
        </w:rPr>
        <w:t>IČ: 60464496</w:t>
      </w:r>
      <w:r>
        <w:rPr>
          <w:bCs/>
          <w:szCs w:val="22"/>
        </w:rPr>
        <w:tab/>
      </w:r>
      <w:r>
        <w:rPr>
          <w:bCs/>
          <w:szCs w:val="22"/>
        </w:rPr>
        <w:tab/>
        <w:t>DIČ: CZ60464496</w:t>
      </w:r>
    </w:p>
    <w:p w:rsidR="006F1AD4" w:rsidRDefault="006F1AD4" w:rsidP="006F1AD4">
      <w:pPr>
        <w:pStyle w:val="Normlnodsazen1"/>
        <w:ind w:left="284"/>
      </w:pPr>
      <w:r>
        <w:rPr>
          <w:bCs/>
          <w:szCs w:val="22"/>
        </w:rPr>
        <w:t>zapsaná v obchodním rejstříku vedeném u Městského soudu v Praze, oddíl C, vložka 26573</w:t>
      </w:r>
    </w:p>
    <w:p w:rsidR="006F1AD4" w:rsidRDefault="006F1AD4" w:rsidP="006F1AD4">
      <w:pPr>
        <w:pStyle w:val="Normlnodsazen1"/>
        <w:ind w:left="284"/>
      </w:pPr>
      <w:r>
        <w:rPr>
          <w:bCs/>
          <w:szCs w:val="22"/>
        </w:rPr>
        <w:t xml:space="preserve">zastoupená: Ing. Tomášem </w:t>
      </w:r>
      <w:proofErr w:type="spellStart"/>
      <w:r>
        <w:rPr>
          <w:bCs/>
          <w:szCs w:val="22"/>
        </w:rPr>
        <w:t>Eršilem</w:t>
      </w:r>
      <w:proofErr w:type="spellEnd"/>
      <w:r>
        <w:rPr>
          <w:bCs/>
          <w:szCs w:val="22"/>
        </w:rPr>
        <w:t>, jednatelem firmy</w:t>
      </w:r>
    </w:p>
    <w:p w:rsidR="006F1AD4" w:rsidRDefault="006F1AD4" w:rsidP="006F1AD4">
      <w:pPr>
        <w:jc w:val="both"/>
      </w:pPr>
      <w:r>
        <w:rPr>
          <w:rFonts w:eastAsia="Arial"/>
          <w:szCs w:val="22"/>
        </w:rPr>
        <w:t xml:space="preserve">    </w:t>
      </w:r>
      <w:r>
        <w:rPr>
          <w:szCs w:val="22"/>
        </w:rPr>
        <w:t>(dále jen „</w:t>
      </w:r>
      <w:r>
        <w:rPr>
          <w:b/>
          <w:szCs w:val="22"/>
        </w:rPr>
        <w:t>Prodávající</w:t>
      </w:r>
      <w:r>
        <w:rPr>
          <w:szCs w:val="22"/>
        </w:rPr>
        <w:t>“), na straně jedné</w:t>
      </w:r>
    </w:p>
    <w:p w:rsidR="006F1AD4" w:rsidRDefault="006F1AD4" w:rsidP="006F1AD4">
      <w:pPr>
        <w:pStyle w:val="Normlnodsazen1"/>
        <w:ind w:left="0"/>
        <w:rPr>
          <w:bCs/>
          <w:szCs w:val="22"/>
        </w:rPr>
      </w:pPr>
    </w:p>
    <w:p w:rsidR="006F1AD4" w:rsidRDefault="006F1AD4" w:rsidP="006F1AD4">
      <w:pPr>
        <w:pStyle w:val="Normlnodsazen1"/>
        <w:ind w:left="0"/>
      </w:pPr>
      <w:r>
        <w:rPr>
          <w:bCs/>
          <w:szCs w:val="22"/>
        </w:rPr>
        <w:t>a</w:t>
      </w:r>
    </w:p>
    <w:p w:rsidR="006F1AD4" w:rsidRDefault="006F1AD4" w:rsidP="006F1AD4">
      <w:pPr>
        <w:pStyle w:val="Normlnodsazen1"/>
        <w:ind w:left="0"/>
        <w:rPr>
          <w:bCs/>
          <w:szCs w:val="22"/>
        </w:rPr>
      </w:pPr>
    </w:p>
    <w:p w:rsidR="006F1AD4" w:rsidRDefault="006F1AD4" w:rsidP="006F1AD4">
      <w:pPr>
        <w:pStyle w:val="Normlnodsazen1"/>
        <w:ind w:left="0"/>
      </w:pPr>
      <w:r>
        <w:rPr>
          <w:rFonts w:eastAsia="Arial"/>
          <w:b/>
          <w:szCs w:val="22"/>
        </w:rPr>
        <w:t xml:space="preserve">     </w:t>
      </w:r>
      <w:r>
        <w:rPr>
          <w:b/>
          <w:szCs w:val="22"/>
        </w:rPr>
        <w:t xml:space="preserve">Správa nemovitostí města Znojma, příspěvková organizace, </w:t>
      </w:r>
    </w:p>
    <w:p w:rsidR="006F1AD4" w:rsidRDefault="006F1AD4" w:rsidP="006F1AD4">
      <w:pPr>
        <w:pStyle w:val="Normlnodsazen1"/>
        <w:ind w:left="0"/>
      </w:pPr>
      <w:r>
        <w:rPr>
          <w:rFonts w:eastAsia="Arial"/>
          <w:b/>
          <w:szCs w:val="22"/>
        </w:rPr>
        <w:t xml:space="preserve">     </w:t>
      </w:r>
      <w:r>
        <w:rPr>
          <w:b/>
          <w:szCs w:val="22"/>
        </w:rPr>
        <w:t xml:space="preserve">se sídlem </w:t>
      </w:r>
      <w:proofErr w:type="spellStart"/>
      <w:r>
        <w:rPr>
          <w:b/>
          <w:szCs w:val="22"/>
        </w:rPr>
        <w:t>Pontassievská</w:t>
      </w:r>
      <w:proofErr w:type="spellEnd"/>
      <w:r>
        <w:rPr>
          <w:b/>
          <w:szCs w:val="22"/>
        </w:rPr>
        <w:t xml:space="preserve"> 217/14, </w:t>
      </w:r>
      <w:proofErr w:type="gramStart"/>
      <w:r>
        <w:rPr>
          <w:b/>
          <w:szCs w:val="22"/>
        </w:rPr>
        <w:t>669 02  Znojmo</w:t>
      </w:r>
      <w:proofErr w:type="gramEnd"/>
    </w:p>
    <w:p w:rsidR="006F1AD4" w:rsidRDefault="006F1AD4" w:rsidP="006F1AD4">
      <w:pPr>
        <w:pStyle w:val="Normlnodsazen2"/>
        <w:ind w:left="284"/>
      </w:pPr>
      <w:r>
        <w:rPr>
          <w:szCs w:val="22"/>
        </w:rPr>
        <w:t>IČ:</w:t>
      </w:r>
      <w:r>
        <w:t xml:space="preserve"> </w:t>
      </w:r>
      <w:r>
        <w:rPr>
          <w:szCs w:val="22"/>
        </w:rPr>
        <w:t>00839060</w:t>
      </w:r>
      <w:r>
        <w:rPr>
          <w:szCs w:val="22"/>
        </w:rPr>
        <w:tab/>
        <w:t>DIČ: CZ00839060</w:t>
      </w:r>
    </w:p>
    <w:p w:rsidR="006F1AD4" w:rsidRDefault="006F1AD4" w:rsidP="006F1AD4">
      <w:pPr>
        <w:ind w:firstLine="284"/>
      </w:pPr>
      <w:r>
        <w:t>zastoupená: Bc. Markem Vodákem, ředitelem příspěvkové organizace</w:t>
      </w:r>
    </w:p>
    <w:p w:rsidR="006F1AD4" w:rsidRDefault="006F1AD4" w:rsidP="006F1AD4">
      <w:pPr>
        <w:jc w:val="both"/>
      </w:pPr>
      <w:r>
        <w:rPr>
          <w:rFonts w:eastAsia="Arial"/>
          <w:szCs w:val="22"/>
        </w:rPr>
        <w:t xml:space="preserve">     </w:t>
      </w:r>
      <w:r>
        <w:rPr>
          <w:szCs w:val="22"/>
        </w:rPr>
        <w:t>(dále jen „</w:t>
      </w:r>
      <w:r>
        <w:rPr>
          <w:b/>
          <w:szCs w:val="22"/>
        </w:rPr>
        <w:t>Kupující</w:t>
      </w:r>
      <w:r>
        <w:rPr>
          <w:szCs w:val="22"/>
        </w:rPr>
        <w:t>“), na straně druhé a dále společně též jako „</w:t>
      </w:r>
      <w:r>
        <w:rPr>
          <w:b/>
          <w:szCs w:val="22"/>
        </w:rPr>
        <w:t>smluvní strany</w:t>
      </w:r>
      <w:r>
        <w:rPr>
          <w:szCs w:val="22"/>
        </w:rPr>
        <w:t>“,</w:t>
      </w:r>
    </w:p>
    <w:p w:rsidR="006F1AD4" w:rsidRDefault="006F1AD4" w:rsidP="006F1AD4">
      <w:pPr>
        <w:jc w:val="both"/>
        <w:rPr>
          <w:szCs w:val="22"/>
        </w:rPr>
      </w:pPr>
    </w:p>
    <w:p w:rsidR="006F1AD4" w:rsidRDefault="006F1AD4" w:rsidP="006F1AD4">
      <w:pPr>
        <w:jc w:val="both"/>
      </w:pPr>
      <w:r>
        <w:rPr>
          <w:szCs w:val="22"/>
        </w:rPr>
        <w:t>uzavírají níže uvedeného dne, měsíce a roku tento dodatek k Rámcové kupní smlouvě č. B 127/2017</w:t>
      </w:r>
    </w:p>
    <w:p w:rsidR="006F1AD4" w:rsidRDefault="006F1AD4" w:rsidP="006F1AD4">
      <w:pPr>
        <w:rPr>
          <w:szCs w:val="22"/>
        </w:rPr>
      </w:pPr>
    </w:p>
    <w:p w:rsidR="006F1AD4" w:rsidRDefault="006F1AD4" w:rsidP="006F1AD4">
      <w:pPr>
        <w:jc w:val="both"/>
      </w:pPr>
      <w:r>
        <w:rPr>
          <w:bCs/>
          <w:szCs w:val="22"/>
        </w:rPr>
        <w:t>Smluvní strany se dohodly na změnách ve znění následujících článků a jednotlivých ustanovení Rámcové kupní smlouvy takto (níže uvedené je nově platné znění přísl. ustanovení Rámcové kupní smlouvy):</w:t>
      </w:r>
    </w:p>
    <w:p w:rsidR="006F1AD4" w:rsidRDefault="006F1AD4" w:rsidP="006F1AD4">
      <w:pPr>
        <w:jc w:val="center"/>
        <w:rPr>
          <w:b/>
          <w:i/>
        </w:rPr>
      </w:pPr>
    </w:p>
    <w:p w:rsidR="006F1AD4" w:rsidRDefault="006F1AD4" w:rsidP="006F1AD4">
      <w:pPr>
        <w:jc w:val="center"/>
        <w:rPr>
          <w:b/>
          <w:i/>
        </w:rPr>
      </w:pPr>
    </w:p>
    <w:p w:rsidR="006F1AD4" w:rsidRDefault="006F1AD4" w:rsidP="006F1AD4">
      <w:pPr>
        <w:numPr>
          <w:ilvl w:val="0"/>
          <w:numId w:val="1"/>
        </w:numPr>
        <w:ind w:left="567" w:hanging="567"/>
      </w:pPr>
      <w:r>
        <w:rPr>
          <w:b/>
          <w:i/>
          <w:caps/>
        </w:rPr>
        <w:t>Kupní cena</w:t>
      </w:r>
    </w:p>
    <w:p w:rsidR="006F1AD4" w:rsidRDefault="006F1AD4" w:rsidP="006F1AD4">
      <w:pPr>
        <w:rPr>
          <w:b/>
          <w:i/>
          <w:caps/>
        </w:rPr>
      </w:pPr>
    </w:p>
    <w:p w:rsidR="006F1AD4" w:rsidRDefault="006F1AD4" w:rsidP="006F1AD4">
      <w:pPr>
        <w:numPr>
          <w:ilvl w:val="1"/>
          <w:numId w:val="1"/>
        </w:numPr>
        <w:ind w:left="567" w:hanging="567"/>
      </w:pPr>
      <w:r>
        <w:rPr>
          <w:i/>
        </w:rPr>
        <w:t xml:space="preserve">Kupní cena zboží je pro dodávky dle této smlouvy stanovena </w:t>
      </w:r>
      <w:r>
        <w:rPr>
          <w:b/>
          <w:bCs/>
          <w:i/>
        </w:rPr>
        <w:t>od 1. 1. 2025</w:t>
      </w:r>
      <w:r>
        <w:rPr>
          <w:i/>
        </w:rPr>
        <w:t xml:space="preserve"> následovně, s možností nového ujednání o ceně zboží:</w:t>
      </w:r>
    </w:p>
    <w:p w:rsidR="006F1AD4" w:rsidRDefault="006F1AD4" w:rsidP="006F1AD4">
      <w:pPr>
        <w:ind w:left="567"/>
        <w:rPr>
          <w:i/>
        </w:rPr>
      </w:pPr>
    </w:p>
    <w:p w:rsidR="006F1AD4" w:rsidRDefault="006F1AD4" w:rsidP="006F1AD4">
      <w:pPr>
        <w:ind w:left="567"/>
      </w:pPr>
      <w:r>
        <w:rPr>
          <w:b/>
          <w:i/>
        </w:rPr>
        <w:t>106411 GHC Kapalný chlor LÁHEV 65 kg</w:t>
      </w:r>
      <w:r>
        <w:rPr>
          <w:b/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4.290,- Kč bez DPH/ 1 ks láhve</w:t>
      </w:r>
    </w:p>
    <w:p w:rsidR="006F1AD4" w:rsidRDefault="006F1AD4" w:rsidP="006F1AD4">
      <w:pPr>
        <w:ind w:left="567"/>
        <w:rPr>
          <w:b/>
          <w:i/>
        </w:rPr>
      </w:pPr>
    </w:p>
    <w:p w:rsidR="006F1AD4" w:rsidRPr="008E61DA" w:rsidRDefault="006F1AD4" w:rsidP="006F1AD4">
      <w:pPr>
        <w:spacing w:line="276" w:lineRule="auto"/>
        <w:jc w:val="both"/>
        <w:rPr>
          <w:i/>
          <w:iCs/>
        </w:rPr>
      </w:pPr>
      <w:r w:rsidRPr="008E61DA">
        <w:rPr>
          <w:i/>
          <w:iCs/>
        </w:rPr>
        <w:t>V ceně zboží jsou zahrnuty náklady spojené s odevzdáním zboží Prodávajícím Kupujícímu, tj. náklady na dopravu zboží na odběrné místo Kupujícího, specifikované v bodě 6 této smlouvy, a rovněž náklady spojené s odvozem prázdného obalu do skladů GHC Invest.</w:t>
      </w:r>
    </w:p>
    <w:p w:rsidR="006F1AD4" w:rsidRDefault="006F1AD4" w:rsidP="006F1AD4"/>
    <w:p w:rsidR="006F1AD4" w:rsidRDefault="006F1AD4" w:rsidP="006F1AD4">
      <w:pPr>
        <w:pStyle w:val="Zkladntext21"/>
      </w:pPr>
      <w:r>
        <w:rPr>
          <w:szCs w:val="22"/>
        </w:rPr>
        <w:t>Ostatní články a ustanovení Rámcové kupní smlouvy, nedotčené tímto dodatkem, zůstávají beze změn.</w:t>
      </w:r>
    </w:p>
    <w:p w:rsidR="006F1AD4" w:rsidRDefault="006F1AD4" w:rsidP="006F1AD4">
      <w:pPr>
        <w:pStyle w:val="Zkladntext21"/>
      </w:pPr>
    </w:p>
    <w:p w:rsidR="006F1AD4" w:rsidRDefault="006F1AD4" w:rsidP="006F1AD4">
      <w:pPr>
        <w:pStyle w:val="Zkladntext21"/>
        <w:rPr>
          <w:szCs w:val="22"/>
        </w:rPr>
      </w:pPr>
    </w:p>
    <w:p w:rsidR="006F1AD4" w:rsidRDefault="006F1AD4" w:rsidP="006F1AD4">
      <w:pPr>
        <w:jc w:val="both"/>
      </w:pPr>
      <w:r>
        <w:rPr>
          <w:szCs w:val="22"/>
        </w:rPr>
        <w:t>Tento dodatek nabývá platnosti dnem jeho podpisu oběma smluvními stranami.</w:t>
      </w:r>
    </w:p>
    <w:p w:rsidR="006F1AD4" w:rsidRDefault="006F1AD4" w:rsidP="006F1AD4">
      <w:pPr>
        <w:jc w:val="both"/>
        <w:rPr>
          <w:szCs w:val="22"/>
        </w:rPr>
      </w:pPr>
    </w:p>
    <w:p w:rsidR="006F1AD4" w:rsidRDefault="006F1AD4" w:rsidP="006F1AD4">
      <w:pPr>
        <w:jc w:val="both"/>
      </w:pPr>
      <w:r>
        <w:rPr>
          <w:szCs w:val="22"/>
        </w:rPr>
        <w:t>Tento dodatek k Rámcové kupní smlouvě je vyhotoven ve dvou stejnopisech, z nichž každá smluvní strana obdrží po jednom stejnopise.</w:t>
      </w:r>
    </w:p>
    <w:p w:rsidR="006F1AD4" w:rsidRDefault="006F1AD4" w:rsidP="006F1AD4">
      <w:pPr>
        <w:pStyle w:val="Normlnodsazen1"/>
        <w:ind w:left="284"/>
      </w:pPr>
      <w:r>
        <w:rPr>
          <w:rFonts w:eastAsia="Arial"/>
          <w:szCs w:val="22"/>
        </w:rPr>
        <w:t xml:space="preserve"> </w:t>
      </w:r>
    </w:p>
    <w:p w:rsidR="006F1AD4" w:rsidRDefault="006F1AD4" w:rsidP="006F1AD4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6F1AD4" w:rsidRDefault="006F1AD4" w:rsidP="006F1AD4">
      <w:pPr>
        <w:pStyle w:val="Zhlav"/>
        <w:tabs>
          <w:tab w:val="clear" w:pos="4536"/>
          <w:tab w:val="clear" w:pos="9072"/>
        </w:tabs>
      </w:pPr>
      <w:r>
        <w:rPr>
          <w:szCs w:val="22"/>
        </w:rPr>
        <w:t>Ve Znojmě, dne ……………………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V Praze, dne ………………………</w:t>
      </w:r>
      <w:proofErr w:type="gramStart"/>
      <w:r>
        <w:rPr>
          <w:szCs w:val="22"/>
        </w:rPr>
        <w:t>…..</w:t>
      </w:r>
      <w:proofErr w:type="gramEnd"/>
    </w:p>
    <w:p w:rsidR="006F1AD4" w:rsidRDefault="006F1AD4" w:rsidP="006F1AD4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6F1AD4" w:rsidRDefault="006F1AD4" w:rsidP="006F1AD4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6F1AD4" w:rsidRDefault="006F1AD4" w:rsidP="006F1AD4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6F1AD4" w:rsidRDefault="006F1AD4" w:rsidP="006F1AD4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6F1AD4" w:rsidRDefault="006F1AD4" w:rsidP="006F1AD4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6F1AD4" w:rsidRDefault="006F1AD4" w:rsidP="006F1AD4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6F1AD4" w:rsidRDefault="006F1AD4" w:rsidP="006F1AD4">
      <w:pPr>
        <w:pStyle w:val="Zhlav"/>
        <w:tabs>
          <w:tab w:val="clear" w:pos="4536"/>
          <w:tab w:val="clear" w:pos="9072"/>
        </w:tabs>
        <w:rPr>
          <w:szCs w:val="22"/>
        </w:rPr>
      </w:pPr>
    </w:p>
    <w:p w:rsidR="006F1AD4" w:rsidRDefault="006F1AD4" w:rsidP="006F1AD4">
      <w:pPr>
        <w:pStyle w:val="Zhlav"/>
        <w:tabs>
          <w:tab w:val="clear" w:pos="4536"/>
          <w:tab w:val="clear" w:pos="9072"/>
        </w:tabs>
      </w:pPr>
      <w:r>
        <w:rPr>
          <w:szCs w:val="22"/>
        </w:rPr>
        <w:t>……………….………………………..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…………………………………………..</w:t>
      </w:r>
    </w:p>
    <w:p w:rsidR="006F1AD4" w:rsidRDefault="006F1AD4" w:rsidP="006F1AD4">
      <w:pPr>
        <w:pStyle w:val="Zhlav"/>
        <w:tabs>
          <w:tab w:val="clear" w:pos="4536"/>
          <w:tab w:val="clear" w:pos="9072"/>
        </w:tabs>
      </w:pPr>
      <w:r>
        <w:rPr>
          <w:rFonts w:eastAsia="Arial"/>
          <w:szCs w:val="22"/>
        </w:rPr>
        <w:t xml:space="preserve">          </w:t>
      </w:r>
      <w:r>
        <w:rPr>
          <w:szCs w:val="22"/>
        </w:rPr>
        <w:t xml:space="preserve">Bc. Marek Vodák      </w:t>
      </w:r>
      <w:r>
        <w:rPr>
          <w:szCs w:val="22"/>
        </w:rPr>
        <w:tab/>
      </w:r>
      <w:r>
        <w:rPr>
          <w:szCs w:val="22"/>
        </w:rPr>
        <w:tab/>
        <w:t xml:space="preserve">     </w:t>
      </w:r>
      <w:r>
        <w:rPr>
          <w:szCs w:val="22"/>
        </w:rPr>
        <w:tab/>
      </w:r>
      <w:r>
        <w:rPr>
          <w:szCs w:val="22"/>
        </w:rPr>
        <w:tab/>
        <w:t xml:space="preserve">                  Ing. Tomáš </w:t>
      </w:r>
      <w:proofErr w:type="spellStart"/>
      <w:r>
        <w:rPr>
          <w:szCs w:val="22"/>
        </w:rPr>
        <w:t>Eršil</w:t>
      </w:r>
      <w:proofErr w:type="spellEnd"/>
    </w:p>
    <w:p w:rsidR="006F1AD4" w:rsidRDefault="006F1AD4" w:rsidP="006F1AD4">
      <w:pPr>
        <w:pStyle w:val="Zhlav"/>
        <w:tabs>
          <w:tab w:val="clear" w:pos="4536"/>
          <w:tab w:val="clear" w:pos="9072"/>
        </w:tabs>
      </w:pPr>
      <w:r>
        <w:rPr>
          <w:rFonts w:eastAsia="Arial"/>
          <w:szCs w:val="22"/>
        </w:rPr>
        <w:t xml:space="preserve">  </w:t>
      </w:r>
      <w:r>
        <w:rPr>
          <w:szCs w:val="22"/>
        </w:rPr>
        <w:t>ředitel příspěvkové organizace</w:t>
      </w:r>
      <w:r>
        <w:rPr>
          <w:szCs w:val="22"/>
        </w:rPr>
        <w:tab/>
        <w:t xml:space="preserve">       </w:t>
      </w:r>
      <w:r>
        <w:rPr>
          <w:szCs w:val="22"/>
        </w:rPr>
        <w:tab/>
      </w:r>
      <w:r>
        <w:rPr>
          <w:szCs w:val="22"/>
        </w:rPr>
        <w:tab/>
        <w:t xml:space="preserve">    jednatel společnosti GHC Invest, s.r.o.</w:t>
      </w:r>
    </w:p>
    <w:p w:rsidR="00E97D25" w:rsidRDefault="006F1AD4" w:rsidP="006F1AD4">
      <w:pPr>
        <w:pStyle w:val="Zhlav"/>
        <w:tabs>
          <w:tab w:val="clear" w:pos="4536"/>
          <w:tab w:val="clear" w:pos="9072"/>
        </w:tabs>
      </w:pPr>
      <w:r>
        <w:rPr>
          <w:szCs w:val="22"/>
        </w:rPr>
        <w:t>Správa nemovitostí města Znojma</w:t>
      </w:r>
      <w:bookmarkStart w:id="0" w:name="_GoBack"/>
      <w:bookmarkEnd w:id="0"/>
    </w:p>
    <w:sectPr w:rsidR="00E97D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275" w:bottom="617" w:left="993" w:header="567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58" w:rsidRDefault="006F1AD4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-20320</wp:posOffset>
              </wp:positionV>
              <wp:extent cx="4561840" cy="264795"/>
              <wp:effectExtent l="0" t="0" r="0" b="0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1840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858" w:rsidRDefault="006F1AD4">
                          <w:r>
                            <w:rPr>
                              <w:b/>
                              <w:bCs/>
                              <w:i/>
                              <w:iCs/>
                              <w:sz w:val="20"/>
                            </w:rPr>
                            <w:t>Dodatek č. 2 Rámcové kupní smlouvy č. B 127/2017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-3.85pt;margin-top:-1.6pt;width:359.2pt;height:20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" stroked="f">
              <v:textbox inset="7.25pt,3.65pt,7.25pt,3.65pt">
                <w:txbxContent>
                  <w:p w:rsidR="00464858" w:rsidRDefault="006F1AD4">
                    <w:r>
                      <w:rPr>
                        <w:b/>
                        <w:bCs/>
                        <w:i/>
                        <w:iCs/>
                        <w:sz w:val="20"/>
                      </w:rPr>
                      <w:t>Dodatek č. 2 Rámcové kupní smlouvy č. B 127/2017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-20320</wp:posOffset>
              </wp:positionV>
              <wp:extent cx="669607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1.6pt" to="523.4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" strokecolor="gray" strokeweight=".53mm">
              <v:stroke joinstyle="miter" endcap="square"/>
            </v:line>
          </w:pict>
        </mc:Fallback>
      </mc:AlternateContent>
    </w:r>
    <w:r>
      <w:rPr>
        <w:rStyle w:val="slostrnky"/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\* ARABIC </w:instrText>
    </w:r>
    <w:r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58" w:rsidRDefault="006F1AD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58" w:rsidRDefault="006F1AD4">
    <w:pPr>
      <w:pStyle w:val="Zhlav"/>
      <w:tabs>
        <w:tab w:val="clear" w:pos="9072"/>
        <w:tab w:val="right" w:pos="10490"/>
      </w:tabs>
    </w:pPr>
    <w:r>
      <w:tab/>
    </w:r>
    <w:r>
      <w:tab/>
    </w:r>
    <w:r>
      <w:rPr>
        <w:noProof/>
        <w:lang w:eastAsia="cs-CZ"/>
      </w:rPr>
      <w:drawing>
        <wp:inline distT="0" distB="0" distL="0" distR="0">
          <wp:extent cx="866775" cy="3429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17" r="-6" b="-1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42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58" w:rsidRDefault="006F1A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Arial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cs="Arial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Arial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  <w:rPr>
        <w:rFonts w:cs="Arial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cs="Arial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  <w:rPr>
        <w:rFonts w:cs="Arial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cs="Arial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1800"/>
      </w:pPr>
      <w:rPr>
        <w:rFonts w:cs="Arial"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D4"/>
    <w:rsid w:val="006F1AD4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AD4"/>
    <w:pPr>
      <w:suppressAutoHyphens/>
      <w:spacing w:after="0"/>
      <w:ind w:firstLine="0"/>
    </w:pPr>
    <w:rPr>
      <w:rFonts w:ascii="Arial" w:eastAsia="Times New Roman" w:hAnsi="Arial" w:cs="Arial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6F1AD4"/>
  </w:style>
  <w:style w:type="paragraph" w:styleId="Zhlav">
    <w:name w:val="header"/>
    <w:basedOn w:val="Normln"/>
    <w:link w:val="ZhlavChar"/>
    <w:rsid w:val="006F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1AD4"/>
    <w:rPr>
      <w:rFonts w:ascii="Arial" w:eastAsia="Times New Roman" w:hAnsi="Arial" w:cs="Arial"/>
      <w:szCs w:val="20"/>
      <w:lang w:eastAsia="zh-CN"/>
    </w:rPr>
  </w:style>
  <w:style w:type="paragraph" w:customStyle="1" w:styleId="Normlnodsazen1">
    <w:name w:val="Normální odsazený1"/>
    <w:basedOn w:val="Normln"/>
    <w:rsid w:val="006F1AD4"/>
    <w:pPr>
      <w:ind w:left="708"/>
    </w:pPr>
  </w:style>
  <w:style w:type="paragraph" w:styleId="Zkladntextodsazen">
    <w:name w:val="Body Text Indent"/>
    <w:basedOn w:val="Normln"/>
    <w:link w:val="ZkladntextodsazenChar"/>
    <w:rsid w:val="006F1AD4"/>
    <w:pPr>
      <w:ind w:firstLine="426"/>
    </w:pPr>
    <w:rPr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6F1AD4"/>
    <w:rPr>
      <w:rFonts w:ascii="Arial" w:eastAsia="Times New Roman" w:hAnsi="Arial" w:cs="Arial"/>
      <w:b/>
      <w:sz w:val="28"/>
      <w:szCs w:val="20"/>
      <w:lang w:eastAsia="zh-CN"/>
    </w:rPr>
  </w:style>
  <w:style w:type="paragraph" w:styleId="Zpat">
    <w:name w:val="footer"/>
    <w:basedOn w:val="Normln"/>
    <w:link w:val="ZpatChar"/>
    <w:rsid w:val="006F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1AD4"/>
    <w:rPr>
      <w:rFonts w:ascii="Arial" w:eastAsia="Times New Roman" w:hAnsi="Arial" w:cs="Arial"/>
      <w:szCs w:val="20"/>
      <w:lang w:eastAsia="zh-CN"/>
    </w:rPr>
  </w:style>
  <w:style w:type="paragraph" w:customStyle="1" w:styleId="Zkladntext21">
    <w:name w:val="Základní text 21"/>
    <w:basedOn w:val="Normln"/>
    <w:rsid w:val="006F1AD4"/>
    <w:pPr>
      <w:jc w:val="both"/>
    </w:pPr>
  </w:style>
  <w:style w:type="paragraph" w:customStyle="1" w:styleId="Normlnodsazen2">
    <w:name w:val="Normální odsazený2"/>
    <w:basedOn w:val="Normln"/>
    <w:rsid w:val="006F1AD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A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A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AD4"/>
    <w:pPr>
      <w:suppressAutoHyphens/>
      <w:spacing w:after="0"/>
      <w:ind w:firstLine="0"/>
    </w:pPr>
    <w:rPr>
      <w:rFonts w:ascii="Arial" w:eastAsia="Times New Roman" w:hAnsi="Arial" w:cs="Arial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6F1AD4"/>
  </w:style>
  <w:style w:type="paragraph" w:styleId="Zhlav">
    <w:name w:val="header"/>
    <w:basedOn w:val="Normln"/>
    <w:link w:val="ZhlavChar"/>
    <w:rsid w:val="006F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1AD4"/>
    <w:rPr>
      <w:rFonts w:ascii="Arial" w:eastAsia="Times New Roman" w:hAnsi="Arial" w:cs="Arial"/>
      <w:szCs w:val="20"/>
      <w:lang w:eastAsia="zh-CN"/>
    </w:rPr>
  </w:style>
  <w:style w:type="paragraph" w:customStyle="1" w:styleId="Normlnodsazen1">
    <w:name w:val="Normální odsazený1"/>
    <w:basedOn w:val="Normln"/>
    <w:rsid w:val="006F1AD4"/>
    <w:pPr>
      <w:ind w:left="708"/>
    </w:pPr>
  </w:style>
  <w:style w:type="paragraph" w:styleId="Zkladntextodsazen">
    <w:name w:val="Body Text Indent"/>
    <w:basedOn w:val="Normln"/>
    <w:link w:val="ZkladntextodsazenChar"/>
    <w:rsid w:val="006F1AD4"/>
    <w:pPr>
      <w:ind w:firstLine="426"/>
    </w:pPr>
    <w:rPr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6F1AD4"/>
    <w:rPr>
      <w:rFonts w:ascii="Arial" w:eastAsia="Times New Roman" w:hAnsi="Arial" w:cs="Arial"/>
      <w:b/>
      <w:sz w:val="28"/>
      <w:szCs w:val="20"/>
      <w:lang w:eastAsia="zh-CN"/>
    </w:rPr>
  </w:style>
  <w:style w:type="paragraph" w:styleId="Zpat">
    <w:name w:val="footer"/>
    <w:basedOn w:val="Normln"/>
    <w:link w:val="ZpatChar"/>
    <w:rsid w:val="006F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1AD4"/>
    <w:rPr>
      <w:rFonts w:ascii="Arial" w:eastAsia="Times New Roman" w:hAnsi="Arial" w:cs="Arial"/>
      <w:szCs w:val="20"/>
      <w:lang w:eastAsia="zh-CN"/>
    </w:rPr>
  </w:style>
  <w:style w:type="paragraph" w:customStyle="1" w:styleId="Zkladntext21">
    <w:name w:val="Základní text 21"/>
    <w:basedOn w:val="Normln"/>
    <w:rsid w:val="006F1AD4"/>
    <w:pPr>
      <w:jc w:val="both"/>
    </w:pPr>
  </w:style>
  <w:style w:type="paragraph" w:customStyle="1" w:styleId="Normlnodsazen2">
    <w:name w:val="Normální odsazený2"/>
    <w:basedOn w:val="Normln"/>
    <w:rsid w:val="006F1AD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A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A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830B-0437-4292-A7C7-D0BC0F0F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1735</Characters>
  <DocSecurity>0</DocSecurity>
  <Lines>14</Lines>
  <Paragraphs>4</Paragraphs>
  <ScaleCrop>false</ScaleCrop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2025-01-21T09:33:00Z</dcterms:created>
  <dcterms:modified xsi:type="dcterms:W3CDTF">2025-01-21T09:34:00Z</dcterms:modified>
</cp:coreProperties>
</file>