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05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Níže uvedení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Základní škola a mateřská škola Plzeň- Božkov, příspěvková organizace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0" w:right="39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 v Plzni, Vřesinská 139/17, PSČ 326 00</w:t>
        <w:br/>
        <w:t>zapsaná ve veřejném rejstříku u Krajského soudu.v Plzni,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 70879214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518" w:lineRule="exact"/>
        <w:ind w:left="0" w:right="39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zastoupená Mgr. Bc. Hanou Stýblovou, ředitelkou školy</w:t>
        <w:br/>
        <w:t>dále jen „příkazce" na straně jedné,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0" w:right="392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45pt;margin-top:-26.4pt;width:84.7pt;height:14.65pt;z-index:-125829376;mso-wrap-distance-left:5.pt;mso-wrap-distance-right:5.pt;mso-position-horizontal-relative:margin" wrapcoords="621 0 21600 0 21600 10071 18461 10071 18461 21600 0 21600 0 9043 621 9043 621 0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paní Radka Staníková</w:t>
                  </w:r>
                </w:p>
                <w:p>
                  <w:pPr>
                    <w:framePr w:h="293" w:wrap="notBeside" w:vAnchor="text" w:hAnchor="margin" w:x="-28" w:y="-527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width:85pt;height:15pt;">
                        <v:imagedata r:id="rId5" r:href="rId6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se sídlem v Plzni-Koterov, Na Háčkách 409/8, PSČ 326 00</w:t>
        <w:br/>
        <w:t>IČ 08372675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444" w:line="518" w:lineRule="exact"/>
        <w:ind w:left="0" w:right="18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zapsaná v registru živnostenského podnikání vedeném Magistrátem města Plzně</w:t>
        <w:br/>
        <w:t>dále jen „příkazník" na straně druhé,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243" w:line="264" w:lineRule="exact"/>
        <w:ind w:left="0" w:right="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uzavírají na základě vzájemného konsenzu</w:t>
        <w:br/>
        <w:t>podle ust. § 2430 a násl. zákona č. 89/2012 Sb., občanský zákoník tuto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334" w:line="260" w:lineRule="exact"/>
        <w:ind w:left="0" w:right="20" w:firstLine="0"/>
      </w:pPr>
      <w:r>
        <w:rPr>
          <w:lang w:val="cs-CZ" w:eastAsia="cs-CZ" w:bidi="cs-CZ"/>
          <w:w w:val="100"/>
          <w:color w:val="000000"/>
          <w:position w:val="0"/>
        </w:rPr>
        <w:t>PŘÍKAZNÍ SMLOUVU O VEDENÍ ÚČETNÍ AGENDY</w:t>
      </w:r>
    </w:p>
    <w:p>
      <w:pPr>
        <w:pStyle w:val="Style12"/>
        <w:widowControl w:val="0"/>
        <w:keepNext/>
        <w:keepLines/>
        <w:shd w:val="clear" w:color="auto" w:fill="auto"/>
        <w:bidi w:val="0"/>
        <w:spacing w:before="0" w:after="0" w:line="210" w:lineRule="exact"/>
        <w:ind w:left="0" w:right="2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i.</w:t>
      </w:r>
      <w:bookmarkEnd w:id="0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205" w:line="210" w:lineRule="exact"/>
        <w:ind w:left="0" w:right="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 smlouvy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4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Příkazník se zavazuje obstarat jménem příkazce na jeho účet násl. záležitosti: zpracovávat a vést</w:t>
        <w:br/>
        <w:t>účetní agendu v souladu se zákonem č. 563/11 Sb., o účetnictví a předpisů souvisejících a vedení</w:t>
        <w:br/>
        <w:t>předepsaných evidencí dle požadavků finančního úřadu, statistiky a orgánů státní správy a ostatní</w:t>
        <w:br/>
        <w:t>s tím související agendu (agendy specifikované v čl. II a III této smlouvy). Příkazce se zavazuje za tuto</w:t>
        <w:br/>
        <w:t>činnost zaplatit příkazníkovi odměnu uvedenou v čl. IV. odst. 2 této smlouvy.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95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Případné činnosti, které bude příkazce požadovat nad rámec této smlouvy, se zavazuje příkazník</w:t>
        <w:br/>
        <w:t>provést po odsouhlasení jejich rozsahu, termínů plnění a odměny.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43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II.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0" w:line="523" w:lineRule="exact"/>
        <w:ind w:left="0" w:right="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Účetní agenda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52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Zpracováváním a vedením účetní agendy podle čl. I této smlouvy se rozumí zejména:</w:t>
      </w:r>
    </w:p>
    <w:p>
      <w:pPr>
        <w:pStyle w:val="Style5"/>
        <w:numPr>
          <w:ilvl w:val="0"/>
          <w:numId w:val="1"/>
        </w:numPr>
        <w:tabs>
          <w:tab w:leader="none" w:pos="756" w:val="left"/>
        </w:tabs>
        <w:widowControl w:val="0"/>
        <w:keepNext w:val="0"/>
        <w:keepLines w:val="0"/>
        <w:shd w:val="clear" w:color="auto" w:fill="auto"/>
        <w:bidi w:val="0"/>
        <w:spacing w:before="0" w:after="0" w:line="523" w:lineRule="exact"/>
        <w:ind w:left="4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Vedení účetnictví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36" w:line="259" w:lineRule="exact"/>
        <w:ind w:left="11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interní vedení podvojného účetnictví na základě předaných prvotních účetních dokladů</w:t>
        <w:br/>
        <w:t>(dodavatelské faktury, odběratelské faktury, pokladní doklady, bankovní výpisy, mzdové</w:t>
        <w:br/>
        <w:t>listiny a ostatní doklady) tak, aby účetnictví bylo úplné, průkazné, správné a v souladu</w:t>
        <w:br/>
        <w:t>s platnými zákonnými normami a předpisy souvisejícími</w:t>
      </w:r>
    </w:p>
    <w:p>
      <w:pPr>
        <w:pStyle w:val="Style5"/>
        <w:numPr>
          <w:ilvl w:val="0"/>
          <w:numId w:val="1"/>
        </w:numPr>
        <w:tabs>
          <w:tab w:leader="none" w:pos="75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76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vyhotovení výstupních sestav dle zákona o účetnictví - účetní deník, hlavní kniha, knihy</w:t>
        <w:br/>
        <w:t>analytické evidence, výkaz zisků a ztrát, výkaz rozvahy, kniha závazků a pohledávek</w:t>
      </w:r>
      <w:r>
        <w:br w:type="page"/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7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(saldokonto) a dalších výstupů (včetně elektronických výstupů) dle požadavků objednatele a</w:t>
        <w:br/>
        <w:t>možností používaného softwaru</w:t>
      </w:r>
    </w:p>
    <w:p>
      <w:pPr>
        <w:pStyle w:val="Style5"/>
        <w:numPr>
          <w:ilvl w:val="0"/>
          <w:numId w:val="1"/>
        </w:numPr>
        <w:tabs>
          <w:tab w:leader="none" w:pos="748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zajištění odvodu daní, k nimž je objednatel zaregistrován, a to v řádných termínech</w:t>
      </w:r>
    </w:p>
    <w:p>
      <w:pPr>
        <w:pStyle w:val="Style5"/>
        <w:numPr>
          <w:ilvl w:val="0"/>
          <w:numId w:val="1"/>
        </w:numPr>
        <w:tabs>
          <w:tab w:leader="none" w:pos="748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konzultace a řešení účetních a ekonomických problémů dle požadavků objednatele</w:t>
      </w:r>
    </w:p>
    <w:p>
      <w:pPr>
        <w:pStyle w:val="Style5"/>
        <w:numPr>
          <w:ilvl w:val="0"/>
          <w:numId w:val="1"/>
        </w:numPr>
        <w:tabs>
          <w:tab w:leader="none" w:pos="748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účtování agendy úplaty na neinvestiční výdaje (školné).</w:t>
      </w:r>
    </w:p>
    <w:p>
      <w:pPr>
        <w:pStyle w:val="Style5"/>
        <w:numPr>
          <w:ilvl w:val="0"/>
          <w:numId w:val="1"/>
        </w:numPr>
        <w:tabs>
          <w:tab w:leader="none" w:pos="74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7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zpracovávání roční a čtvrtletních účetních uzávěrek, popř. mimořádné účetní závěrky dle</w:t>
        <w:br/>
        <w:t>potřeb objednatele</w:t>
      </w:r>
    </w:p>
    <w:p>
      <w:pPr>
        <w:pStyle w:val="Style5"/>
        <w:numPr>
          <w:ilvl w:val="0"/>
          <w:numId w:val="1"/>
        </w:numPr>
        <w:tabs>
          <w:tab w:leader="none" w:pos="748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vyhotovení ročních výkazů vč. dokladových inventur</w:t>
      </w:r>
    </w:p>
    <w:p>
      <w:pPr>
        <w:pStyle w:val="Style5"/>
        <w:numPr>
          <w:ilvl w:val="0"/>
          <w:numId w:val="1"/>
        </w:numPr>
        <w:tabs>
          <w:tab w:leader="none" w:pos="74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19" w:line="259" w:lineRule="exact"/>
        <w:ind w:left="7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vypracování daňových přiznání k daním, knimž je objednatel zaregistrován u FÚ (mimo</w:t>
        <w:br/>
        <w:t>povinnosti vyplývající ze mzdové agendy)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9" w:line="160" w:lineRule="exact"/>
        <w:ind w:left="43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III.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244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Ostatní agenda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209" w:line="210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Ostatní agendou podle čl. I. této smlouvy se rozumí zejména:</w:t>
      </w:r>
    </w:p>
    <w:p>
      <w:pPr>
        <w:pStyle w:val="Style5"/>
        <w:numPr>
          <w:ilvl w:val="0"/>
          <w:numId w:val="3"/>
        </w:numPr>
        <w:tabs>
          <w:tab w:leader="none" w:pos="34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400" w:right="50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zpracování předepsaných statistických výkazů týkající se účetní agendy, jejich vyhotovení</w:t>
        <w:br/>
        <w:t>v tiskové podobě a elektronické odeslání na příslušné subjekty;</w:t>
      </w:r>
    </w:p>
    <w:p>
      <w:pPr>
        <w:pStyle w:val="Style5"/>
        <w:numPr>
          <w:ilvl w:val="0"/>
          <w:numId w:val="3"/>
        </w:numPr>
        <w:tabs>
          <w:tab w:leader="none" w:pos="34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zúčastňovat se na požádání spolu s příkazcem případných kontrol prováděných oprávněnými</w:t>
        <w:br/>
        <w:t>orgány, zejména finančním úřadem, zdravotními pojišťovnami, okresní správou sociálního</w:t>
        <w:br/>
        <w:t>zabezpečení, kontrolními orgány Magistrátu města Plzně, ČŠI a úřadem práce.</w:t>
      </w:r>
    </w:p>
    <w:p>
      <w:pPr>
        <w:pStyle w:val="Style5"/>
        <w:numPr>
          <w:ilvl w:val="0"/>
          <w:numId w:val="3"/>
        </w:numPr>
        <w:tabs>
          <w:tab w:leader="none" w:pos="34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79" w:line="259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Zadávání platebních příkazů k úhradě z bankovních účtů /dále jen BÚ/ vedené u Komerční banky</w:t>
        <w:br/>
        <w:t>-jedná se o BÚ ZŠ a MŠ a BÚ FKSP.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4" w:line="210" w:lineRule="exact"/>
        <w:ind w:left="38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IV.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205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Odměna a platební podmínky</w:t>
      </w:r>
    </w:p>
    <w:p>
      <w:pPr>
        <w:pStyle w:val="Style5"/>
        <w:numPr>
          <w:ilvl w:val="0"/>
          <w:numId w:val="5"/>
        </w:numPr>
        <w:tabs>
          <w:tab w:leader="none" w:pos="347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provedení sjednané činnosti uvedené včl. I přísluší příkazníkovi sjednaná odměna ve výši</w:t>
        <w:br/>
        <w:t>10 000,- Kč /slovy deset tisíc korun českých/ za každý měsíc kalendářního roku. V případě, že</w:t>
        <w:br/>
        <w:t>příkazník bude zpracovávat účetnictví jen část měsíce, sjednaná odměna může být ponížena na</w:t>
        <w:br/>
        <w:t>základě dohody obou stran.</w:t>
      </w:r>
    </w:p>
    <w:p>
      <w:pPr>
        <w:pStyle w:val="Style5"/>
        <w:numPr>
          <w:ilvl w:val="0"/>
          <w:numId w:val="5"/>
        </w:numPr>
        <w:tabs>
          <w:tab w:leader="none" w:pos="347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Příkazník je povinen zaslat příkazci do 15. dne následujícího kalendářního měsíce fakturu, ve</w:t>
        <w:br/>
        <w:t>které bude specifikován rozsah činností vdaném měsíci. Faktura bude obsahovat zákonem</w:t>
        <w:br/>
        <w:t>stanovené náležitosti.</w:t>
      </w:r>
    </w:p>
    <w:p>
      <w:pPr>
        <w:pStyle w:val="Style5"/>
        <w:numPr>
          <w:ilvl w:val="0"/>
          <w:numId w:val="5"/>
        </w:numPr>
        <w:tabs>
          <w:tab w:leader="none" w:pos="347" w:val="left"/>
        </w:tabs>
        <w:widowControl w:val="0"/>
        <w:keepNext w:val="0"/>
        <w:keepLines w:val="0"/>
        <w:shd w:val="clear" w:color="auto" w:fill="auto"/>
        <w:bidi w:val="0"/>
        <w:spacing w:before="0" w:after="279" w:line="259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Splatnost faktury je stanovena do 10 kalendářních dnů od doručení faktury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43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205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Práva a povinnosti příkazníka</w:t>
      </w:r>
    </w:p>
    <w:p>
      <w:pPr>
        <w:pStyle w:val="Style5"/>
        <w:numPr>
          <w:ilvl w:val="0"/>
          <w:numId w:val="7"/>
        </w:numPr>
        <w:tabs>
          <w:tab w:leader="none" w:pos="347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Příkazník je povinen řídit se pokyny příkazce a sdělovat mu veškeré informace, které mohou mít</w:t>
        <w:br/>
        <w:t>vliv na jeho rozhodnutí a činnost. Od pokynů příkazcových se může odchýlit jen tehdy, je-li to</w:t>
        <w:br/>
        <w:t>nezbytné v zájmu příkazce a nemůže-li včas obdržet jeho souhlas, jinak odpovídá za škodu.</w:t>
      </w:r>
    </w:p>
    <w:p>
      <w:pPr>
        <w:pStyle w:val="Style5"/>
        <w:numPr>
          <w:ilvl w:val="0"/>
          <w:numId w:val="7"/>
        </w:numPr>
        <w:tabs>
          <w:tab w:leader="none" w:pos="34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Příkazník je povinen příkazci průběžně podávat a předávat všechny zprávy a dokumenty týkající</w:t>
        <w:br/>
        <w:t>se vedení příslušné agendy podle čl. II a III této smlouvy.</w:t>
      </w:r>
    </w:p>
    <w:p>
      <w:pPr>
        <w:pStyle w:val="Style5"/>
        <w:numPr>
          <w:ilvl w:val="0"/>
          <w:numId w:val="7"/>
        </w:numPr>
        <w:tabs>
          <w:tab w:leader="none" w:pos="347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Příkazník je povinen plnit příkaz poctivě a pečlivě podle svých schopností. Je povinen přitom</w:t>
        <w:br/>
        <w:t>použít každého prostředku, který vyžaduje povaha obstarávané záležitosti, jakož i takového, který</w:t>
        <w:br/>
        <w:t>se shoduje s vůlí příkazce.</w:t>
      </w:r>
    </w:p>
    <w:p>
      <w:pPr>
        <w:pStyle w:val="Style5"/>
        <w:numPr>
          <w:ilvl w:val="0"/>
          <w:numId w:val="7"/>
        </w:numPr>
        <w:tabs>
          <w:tab w:leader="none" w:pos="34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Příkazník je povinen provést příkaz osobně, nesmí svěřit provedení příkazu jinému ani si ustanovit</w:t>
        <w:br/>
        <w:t>náhradníka.</w:t>
      </w:r>
    </w:p>
    <w:p>
      <w:pPr>
        <w:pStyle w:val="Style5"/>
        <w:numPr>
          <w:ilvl w:val="0"/>
          <w:numId w:val="7"/>
        </w:numPr>
        <w:tabs>
          <w:tab w:leader="none" w:pos="34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Příkazník je povinen upozornit příkazce na jeho zřejmě nesprávné pokyny, takový pokyn je</w:t>
        <w:br/>
        <w:t>povinen splnit jen tehdy, když na něm příkazce bude přes upozornění trvat.</w:t>
      </w:r>
    </w:p>
    <w:p>
      <w:pPr>
        <w:pStyle w:val="Style5"/>
        <w:numPr>
          <w:ilvl w:val="0"/>
          <w:numId w:val="7"/>
        </w:numPr>
        <w:tabs>
          <w:tab w:leader="none" w:pos="347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Příkazník je povinen přenechat příkazci veškerý užitek z obstarané záležitosti.</w:t>
      </w:r>
    </w:p>
    <w:p>
      <w:pPr>
        <w:pStyle w:val="Style5"/>
        <w:numPr>
          <w:ilvl w:val="0"/>
          <w:numId w:val="7"/>
        </w:numPr>
        <w:tabs>
          <w:tab w:leader="none" w:pos="365" w:val="left"/>
        </w:tabs>
        <w:widowControl w:val="0"/>
        <w:keepNext w:val="0"/>
        <w:keepLines w:val="0"/>
        <w:shd w:val="clear" w:color="auto" w:fill="auto"/>
        <w:bidi w:val="0"/>
        <w:spacing w:before="0" w:after="279" w:line="259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O rozvržení plnění předmětu této smlouvy a jednotlivých úkolů rozhoduje příkazník, dle povahy</w:t>
        <w:br/>
        <w:t>těchto plnění.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42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VI.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209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Práva a povinnosti příkazce</w:t>
      </w:r>
    </w:p>
    <w:p>
      <w:pPr>
        <w:pStyle w:val="Style5"/>
        <w:numPr>
          <w:ilvl w:val="0"/>
          <w:numId w:val="9"/>
        </w:numPr>
        <w:tabs>
          <w:tab w:leader="none" w:pos="365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Příkazce se zavazuje předat příkazníkovi veškeré podklady a dokumenty potřebné k provedení</w:t>
        <w:br/>
        <w:t>příkazu podle čl. I této smlouvy nejpozději do 10. pracovního dne následujícího kalendářního</w:t>
        <w:br/>
        <w:t>měsíce.</w:t>
      </w:r>
    </w:p>
    <w:p>
      <w:pPr>
        <w:pStyle w:val="Style5"/>
        <w:numPr>
          <w:ilvl w:val="0"/>
          <w:numId w:val="9"/>
        </w:numPr>
        <w:tabs>
          <w:tab w:leader="none" w:pos="365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Příkazce poskytne příkazníkovi pro výkon činností podle této smlouvy přístup do svých prostor a</w:t>
        <w:br/>
        <w:t>zajistí mu podmínky pro řádné přebírání a předávání příkazníkem zpracovávané agendy, včetně</w:t>
        <w:br/>
        <w:t>elektronického přístupu do školní sítě. Dohodnutý termín předávání dokladů je lx týdně.</w:t>
      </w:r>
    </w:p>
    <w:p>
      <w:pPr>
        <w:pStyle w:val="Style5"/>
        <w:numPr>
          <w:ilvl w:val="0"/>
          <w:numId w:val="9"/>
        </w:numPr>
        <w:tabs>
          <w:tab w:leader="none" w:pos="365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Příkazce je povinen, vyžaduje-li to uskutečnění právního jednání, vystavit včas příkazníkovi</w:t>
        <w:br/>
        <w:t>potřebnou plnou moc.</w:t>
      </w:r>
    </w:p>
    <w:p>
      <w:pPr>
        <w:pStyle w:val="Style5"/>
        <w:numPr>
          <w:ilvl w:val="0"/>
          <w:numId w:val="9"/>
        </w:numPr>
        <w:tabs>
          <w:tab w:leader="none" w:pos="365" w:val="left"/>
        </w:tabs>
        <w:widowControl w:val="0"/>
        <w:keepNext w:val="0"/>
        <w:keepLines w:val="0"/>
        <w:shd w:val="clear" w:color="auto" w:fill="auto"/>
        <w:bidi w:val="0"/>
        <w:spacing w:before="0" w:after="279" w:line="259" w:lineRule="exact"/>
        <w:ind w:left="5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Příkazce je povinen vyplatit příkazníkovi sjednanou odměnu v souladu s čl. IV této smlouvy.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42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VII.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205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Ostatní ujednání</w:t>
      </w:r>
    </w:p>
    <w:p>
      <w:pPr>
        <w:pStyle w:val="Style5"/>
        <w:numPr>
          <w:ilvl w:val="0"/>
          <w:numId w:val="11"/>
        </w:numPr>
        <w:tabs>
          <w:tab w:leader="none" w:pos="365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Příkazník bude ke zpracovávání agend uvedených včl. I této smlouvy používat systém HELIOS</w:t>
        <w:br/>
        <w:t>ORANGE. Příkazce je povinen umožnit příkazníkovi přístup do tohoto systému.</w:t>
      </w:r>
    </w:p>
    <w:p>
      <w:pPr>
        <w:pStyle w:val="Style5"/>
        <w:numPr>
          <w:ilvl w:val="0"/>
          <w:numId w:val="11"/>
        </w:numPr>
        <w:tabs>
          <w:tab w:leader="none" w:pos="365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5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Příkazce zajistí příkazníkovi přístup do internetového bankovnictví KB.</w:t>
      </w:r>
    </w:p>
    <w:p>
      <w:pPr>
        <w:pStyle w:val="Style5"/>
        <w:numPr>
          <w:ilvl w:val="0"/>
          <w:numId w:val="11"/>
        </w:numPr>
        <w:tabs>
          <w:tab w:leader="none" w:pos="365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případě, že příkazce poruší svoji povinnost uvedenou v čl. VI odst. 1 této smlouvy, příkazník</w:t>
        <w:br/>
        <w:t>neodpovídá za škody způsobené neúplnostmi a nedostatky předaných podkladů.</w:t>
      </w:r>
    </w:p>
    <w:p>
      <w:pPr>
        <w:pStyle w:val="Style5"/>
        <w:numPr>
          <w:ilvl w:val="0"/>
          <w:numId w:val="11"/>
        </w:numPr>
        <w:tabs>
          <w:tab w:leader="none" w:pos="365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Příkazník odpovídá příkazci za škodu, kterou mu při své činnosti způsobí stím, že se zavazuje</w:t>
        <w:br/>
        <w:t>vzniklou škodu bez výhrad v plné výši příkazci nahradit včetně dalších výdajů příkazce, které</w:t>
        <w:br/>
        <w:t>vzniknou příkazci v souvislosti s porušením smlouvy nebo zákona příkazníkem.</w:t>
      </w:r>
    </w:p>
    <w:p>
      <w:pPr>
        <w:pStyle w:val="Style5"/>
        <w:numPr>
          <w:ilvl w:val="0"/>
          <w:numId w:val="11"/>
        </w:numPr>
        <w:tabs>
          <w:tab w:leader="none" w:pos="365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Náklady vynaložené příkazníkem v souvislosti s prováděním příkazu jsou zahrnuty v odměně</w:t>
        <w:br/>
        <w:t>podle čl. IV této smlouvy.</w:t>
      </w:r>
    </w:p>
    <w:p>
      <w:pPr>
        <w:pStyle w:val="Style5"/>
        <w:numPr>
          <w:ilvl w:val="0"/>
          <w:numId w:val="11"/>
        </w:numPr>
        <w:tabs>
          <w:tab w:leader="none" w:pos="365" w:val="left"/>
        </w:tabs>
        <w:widowControl w:val="0"/>
        <w:keepNext w:val="0"/>
        <w:keepLines w:val="0"/>
        <w:shd w:val="clear" w:color="auto" w:fill="auto"/>
        <w:bidi w:val="0"/>
        <w:spacing w:before="0" w:after="295" w:line="259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Příkazník se zavazuje, že jej bude možno v rámci obvyklých podmínek telefonicky kontaktovat a v</w:t>
        <w:br/>
        <w:t>případě potřeby se na žádost příkazce dostaví do jeho prostor.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left"/>
        <w:spacing w:before="0" w:after="3" w:line="190" w:lineRule="exact"/>
        <w:ind w:left="42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Vlil.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205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Ukončení smlouvy</w:t>
      </w:r>
    </w:p>
    <w:p>
      <w:pPr>
        <w:pStyle w:val="Style5"/>
        <w:numPr>
          <w:ilvl w:val="0"/>
          <w:numId w:val="13"/>
        </w:numPr>
        <w:tabs>
          <w:tab w:leader="none" w:pos="365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5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může být ukončena:</w:t>
      </w:r>
    </w:p>
    <w:p>
      <w:pPr>
        <w:pStyle w:val="Style5"/>
        <w:numPr>
          <w:ilvl w:val="0"/>
          <w:numId w:val="15"/>
        </w:numPr>
        <w:tabs>
          <w:tab w:leader="none" w:pos="844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8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dohodou smluvních stran;</w:t>
      </w:r>
    </w:p>
    <w:p>
      <w:pPr>
        <w:pStyle w:val="Style5"/>
        <w:numPr>
          <w:ilvl w:val="0"/>
          <w:numId w:val="15"/>
        </w:numPr>
        <w:tabs>
          <w:tab w:leader="none" w:pos="844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8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výpovědí smlouvy některou ze smluvních stran, přičemž příkazník může příkaz vypovědět</w:t>
        <w:br/>
        <w:t>nejdříve ke konci měsíce následujícího po měsíci, v němž byla výpověď doručena;</w:t>
      </w:r>
    </w:p>
    <w:p>
      <w:pPr>
        <w:pStyle w:val="Style5"/>
        <w:numPr>
          <w:ilvl w:val="0"/>
          <w:numId w:val="15"/>
        </w:numPr>
        <w:tabs>
          <w:tab w:leader="none" w:pos="844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840" w:right="0" w:hanging="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příkazce je oprávněn příkaz písemně odvolat podle libosti, je však povinen nahradit</w:t>
        <w:br/>
        <w:t>příkazníkovi náklady, které do té doby měl, a škodu, pokud ji utrpěl, jakož i část odměny</w:t>
        <w:br/>
        <w:t>přiměřenou vynaložené námaze příkazníka; odvoláním tato smlouva zanikne dnem</w:t>
        <w:br/>
        <w:t>následujícím po doručení odvolání příkazníkovi. Příkazník je po odvolání povinen učinit vše,</w:t>
        <w:br/>
        <w:t>co nesnese odkladu, aby příkazce neutrpěl újmu.</w:t>
      </w:r>
    </w:p>
    <w:p>
      <w:pPr>
        <w:pStyle w:val="Style5"/>
        <w:numPr>
          <w:ilvl w:val="0"/>
          <w:numId w:val="13"/>
        </w:numPr>
        <w:tabs>
          <w:tab w:leader="none" w:pos="365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5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Vypoví4i příkazník příkaz před obstaráním záležitosti, kterou byl zvlášť pověřen, nebo s jejímž</w:t>
        <w:br/>
        <w:t>obstaráním začal podle všeobecného pověření, nahradí škodu z toho vzešlou podle obecných</w:t>
        <w:br/>
        <w:t>ustanovení.</w:t>
      </w:r>
    </w:p>
    <w:p>
      <w:pPr>
        <w:pStyle w:val="Style5"/>
        <w:numPr>
          <w:ilvl w:val="0"/>
          <w:numId w:val="13"/>
        </w:numPr>
        <w:tabs>
          <w:tab w:leader="none" w:pos="365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5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Příkazník je povinen zařídit ve všech případech zániku příkazu ještě vše, co nesnese odkladu,</w:t>
        <w:br/>
        <w:t>dokud příkazce nebo jeho právní nástupce neprojeví jinou vůli.</w:t>
      </w:r>
      <w:r>
        <w:br w:type="page"/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IX.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205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Závěrečná ustanovení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1) Tato smlouva je uzavřena na dobu neurčitou.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) Smlouva nabývá platnosti a účinnosti dnem 1. 8. 2024.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) Smlouvu lze měnit či doplňovat pouze formou písemných dodatků k této smlouvě.</w:t>
      </w:r>
    </w:p>
    <w:p>
      <w:pPr>
        <w:pStyle w:val="Style5"/>
        <w:numPr>
          <w:ilvl w:val="0"/>
          <w:numId w:val="13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Právní vztahy z této smlouvy vyplývající se řídí příslušnými ustanoveními občanského zákoníku.</w:t>
      </w:r>
    </w:p>
    <w:p>
      <w:pPr>
        <w:pStyle w:val="Style5"/>
        <w:numPr>
          <w:ilvl w:val="0"/>
          <w:numId w:val="13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se vyhotovuje ve dvou stejnopisech po jednom pro každou ze stran.</w:t>
      </w:r>
    </w:p>
    <w:p>
      <w:pPr>
        <w:pStyle w:val="Style5"/>
        <w:numPr>
          <w:ilvl w:val="0"/>
          <w:numId w:val="13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spacing w:before="0" w:after="519" w:line="259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prohlašují, že si tuto smlouvu přečetly a s jejím obsahem souhlasí. Dále prohlašují,</w:t>
        <w:br/>
        <w:t>že tuto smlouvu uzavírají ze své vážné a svobodné vůle, nikoliv v tísni nebo za nápadně</w:t>
        <w:br/>
        <w:t>nevýhodných podmínek.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380" w:right="0" w:hanging="380"/>
        <w:sectPr>
          <w:footnotePr>
            <w:pos w:val="pageBottom"/>
            <w:numFmt w:val="decimal"/>
            <w:numRestart w:val="continuous"/>
          </w:footnotePr>
          <w:pgSz w:w="11900" w:h="16840"/>
          <w:pgMar w:top="1851" w:left="1523" w:right="1497" w:bottom="1365" w:header="0" w:footer="3" w:gutter="0"/>
          <w:rtlGutter w:val="0"/>
          <w:cols w:space="720"/>
          <w:noEndnote/>
          <w:docGrid w:linePitch="360"/>
        </w:sectPr>
      </w:pPr>
      <w:r>
        <w:pict>
          <v:shape id="_x0000_s1028" type="#_x0000_t202" style="position:absolute;margin-left:275.5pt;margin-top:-1.2pt;width:89.75pt;height:13.35pt;z-index:-125829375;mso-wrap-distance-left:183.8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6"/>
                    </w:rPr>
                    <w:t>V Plzni dne 1.7.2024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 Plzni dne 1.7.2024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5" w:after="65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2028" w:left="0" w:right="0" w:bottom="202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29" type="#_x0000_t202" style="position:absolute;margin-left:-0.3pt;margin-top:0;width:127.2pt;height:26.9pt;z-index:251657728;mso-wrap-distance-left:5.pt;mso-wrap-distance-right:5.pt;mso-position-horizontal-relative:margin" wrapcoords="2038 0 19231 0 19231 10145 21600 10853 21600 16528 18543 16528 18543 21600 1384 21600 1384 16528 0 16528 0 10853 2038 10145 2038 0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24"/>
                    </w:rPr>
                    <w:t xml:space="preserve">Základní školo a mateřská </w:t>
                  </w:r>
                  <w:r>
                    <w:rPr>
                      <w:rStyle w:val="CharStyle25"/>
                      <w:b/>
                      <w:bCs/>
                    </w:rPr>
                    <w:t>Sko]</w:t>
                  </w:r>
                </w:p>
                <w:p>
                  <w:pPr>
                    <w:pStyle w:val="Style2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8"/>
                      <w:b w:val="0"/>
                      <w:bCs w:val="0"/>
                    </w:rPr>
                    <w:t>Plzeň</w:t>
                  </w:r>
                  <w:r>
                    <w:rPr>
                      <w:rStyle w:val="CharStyle29"/>
                      <w:b w:val="0"/>
                      <w:bCs w:val="0"/>
                    </w:rPr>
                    <w:t xml:space="preserve"> - Iiožkov,</w:t>
                    <w:br/>
                  </w:r>
                  <w:r>
                    <w:rPr>
                      <w:rStyle w:val="CharStyle30"/>
                      <w:b/>
                      <w:bCs/>
                    </w:rPr>
                    <w:t>Víesinská 17,</w:t>
                  </w:r>
                </w:p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33"/>
                    </w:rPr>
                    <w:t>příspěvková oig</w:t>
                  </w:r>
                  <w:r>
                    <w:rPr>
                      <w:rStyle w:val="CharStyle34"/>
                    </w:rPr>
                    <w:t>anjgt</w:t>
                  </w:r>
                  <w:r>
                    <w:rPr>
                      <w:rStyle w:val="CharStyle33"/>
                    </w:rPr>
                    <w:t xml:space="preserve">cá </w:t>
                  </w:r>
                  <w:r>
                    <w:rPr>
                      <w:rStyle w:val="CharStyle35"/>
                      <w:vertAlign w:val="superscript"/>
                    </w:rPr>
                    <w:t>U</w:t>
                  </w:r>
                </w:p>
                <w:p>
                  <w:pPr>
                    <w:framePr w:h="538" w:wrap="none" w:vAnchor="text" w:hAnchor="margin" w:x="-5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030" type="#_x0000_t75" style="width:127pt;height:27pt;">
                        <v:imagedata r:id="rId7" r:href="rId8"/>
                      </v:shape>
                    </w:pic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59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MgryBc. Hana Stýblová</w:t>
                    <w:br/>
                  </w:r>
                  <w:r>
                    <w:rPr>
                      <w:rStyle w:val="CharStyle36"/>
                      <w:b/>
                      <w:bCs/>
                    </w:rPr>
                    <w:t>v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 příkazce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75" style="position:absolute;margin-left:239.95pt;margin-top:13.9pt;width:128.15pt;height:60.5pt;z-index:-251658752;mso-wrap-distance-left:5.pt;mso-wrap-distance-right:5.pt;mso-position-horizontal-relative:margin" wrapcoords="0 0">
            <v:imagedata r:id="rId9" r:href="rId10"/>
            <w10:wrap anchorx="margin"/>
          </v:shape>
        </w:pict>
      </w:r>
      <w:r>
        <w:pict>
          <v:shape id="_x0000_s1032" type="#_x0000_t202" style="position:absolute;margin-left:279.8pt;margin-top:74.85pt;width:71.5pt;height:28.8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259" w:lineRule="exact"/>
                    <w:ind w:left="0" w:right="20" w:firstLine="0"/>
                  </w:pPr>
                  <w:r>
                    <w:rPr>
                      <w:rStyle w:val="CharStyle6"/>
                    </w:rPr>
                    <w:t>Radka Staníková</w:t>
                    <w:br/>
                    <w:t>příkazník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11" w:lineRule="exact"/>
      </w:pPr>
    </w:p>
    <w:p>
      <w:pPr>
        <w:widowControl w:val="0"/>
        <w:rPr>
          <w:sz w:val="2"/>
          <w:szCs w:val="2"/>
        </w:rPr>
      </w:pPr>
    </w:p>
    <w:sectPr>
      <w:type w:val="continuous"/>
      <w:pgSz w:w="11900" w:h="16840"/>
      <w:pgMar w:top="2028" w:left="1644" w:right="1481" w:bottom="202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Titulek obrázku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6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7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9">
    <w:name w:val="Základní text (3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11">
    <w:name w:val="Základní text (4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6"/>
      <w:szCs w:val="26"/>
      <w:rFonts w:ascii="Calibri" w:eastAsia="Calibri" w:hAnsi="Calibri" w:cs="Calibri"/>
      <w:spacing w:val="30"/>
    </w:rPr>
  </w:style>
  <w:style w:type="character" w:customStyle="1" w:styleId="CharStyle13">
    <w:name w:val="Nadpis #1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15">
    <w:name w:val="Základní text (5)_"/>
    <w:basedOn w:val="DefaultParagraphFont"/>
    <w:link w:val="Style14"/>
    <w:rPr>
      <w:b/>
      <w:bCs/>
      <w:i w:val="0"/>
      <w:iCs w:val="0"/>
      <w:u w:val="none"/>
      <w:strike w:val="0"/>
      <w:smallCaps w:val="0"/>
      <w:sz w:val="19"/>
      <w:szCs w:val="19"/>
      <w:rFonts w:ascii="Calibri" w:eastAsia="Calibri" w:hAnsi="Calibri" w:cs="Calibri"/>
    </w:rPr>
  </w:style>
  <w:style w:type="character" w:customStyle="1" w:styleId="CharStyle17">
    <w:name w:val="Základní text (6)_"/>
    <w:basedOn w:val="DefaultParagraphFont"/>
    <w:link w:val="Style16"/>
    <w:rPr>
      <w:b/>
      <w:bCs/>
      <w:i w:val="0"/>
      <w:iCs w:val="0"/>
      <w:u w:val="none"/>
      <w:strike w:val="0"/>
      <w:smallCaps w:val="0"/>
      <w:sz w:val="16"/>
      <w:szCs w:val="16"/>
      <w:rFonts w:ascii="Calibri" w:eastAsia="Calibri" w:hAnsi="Calibri" w:cs="Calibri"/>
    </w:rPr>
  </w:style>
  <w:style w:type="character" w:customStyle="1" w:styleId="CharStyle19">
    <w:name w:val="Základní text (7)_"/>
    <w:basedOn w:val="DefaultParagraphFont"/>
    <w:link w:val="Style18"/>
    <w:rPr>
      <w:b/>
      <w:bCs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21">
    <w:name w:val="Základní text (8)_"/>
    <w:basedOn w:val="DefaultParagraphFont"/>
    <w:link w:val="Style20"/>
    <w:rPr>
      <w:b/>
      <w:bCs/>
      <w:i w:val="0"/>
      <w:iCs w:val="0"/>
      <w:u w:val="none"/>
      <w:strike w:val="0"/>
      <w:smallCaps w:val="0"/>
      <w:sz w:val="19"/>
      <w:szCs w:val="19"/>
      <w:rFonts w:ascii="Calibri" w:eastAsia="Calibri" w:hAnsi="Calibri" w:cs="Calibri"/>
    </w:rPr>
  </w:style>
  <w:style w:type="character" w:customStyle="1" w:styleId="CharStyle23">
    <w:name w:val="Titulek obrázku (2) Exact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16"/>
      <w:szCs w:val="16"/>
      <w:rFonts w:ascii="Garamond" w:eastAsia="Garamond" w:hAnsi="Garamond" w:cs="Garamond"/>
    </w:rPr>
  </w:style>
  <w:style w:type="character" w:customStyle="1" w:styleId="CharStyle24">
    <w:name w:val="Titulek obrázku (2) Exact"/>
    <w:basedOn w:val="CharStyle23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5">
    <w:name w:val="Titulek obrázku (2) + Tučné,Kurzíva Exact"/>
    <w:basedOn w:val="CharStyle23"/>
    <w:rPr>
      <w:lang w:val="cs-CZ" w:eastAsia="cs-CZ" w:bidi="cs-CZ"/>
      <w:b/>
      <w:bCs/>
      <w:i/>
      <w:iCs/>
      <w:sz w:val="16"/>
      <w:szCs w:val="16"/>
      <w:w w:val="100"/>
      <w:spacing w:val="0"/>
      <w:color w:val="000000"/>
      <w:position w:val="0"/>
    </w:rPr>
  </w:style>
  <w:style w:type="character" w:customStyle="1" w:styleId="CharStyle27">
    <w:name w:val="Titulek obrázku (3) Exact"/>
    <w:basedOn w:val="DefaultParagraphFont"/>
    <w:link w:val="Style26"/>
    <w:rPr>
      <w:b/>
      <w:bCs/>
      <w:i w:val="0"/>
      <w:iCs w:val="0"/>
      <w:u w:val="none"/>
      <w:strike w:val="0"/>
      <w:smallCaps w:val="0"/>
      <w:sz w:val="17"/>
      <w:szCs w:val="17"/>
      <w:rFonts w:ascii="Garamond" w:eastAsia="Garamond" w:hAnsi="Garamond" w:cs="Garamond"/>
    </w:rPr>
  </w:style>
  <w:style w:type="character" w:customStyle="1" w:styleId="CharStyle28">
    <w:name w:val="Titulek obrázku (3) + Century Schoolbook,6,5 pt,Ne tučné,Kurzíva Exact"/>
    <w:basedOn w:val="CharStyle27"/>
    <w:rPr>
      <w:lang w:val="cs-CZ" w:eastAsia="cs-CZ" w:bidi="cs-CZ"/>
      <w:b/>
      <w:bCs/>
      <w:i/>
      <w:iCs/>
      <w:sz w:val="13"/>
      <w:szCs w:val="13"/>
      <w:rFonts w:ascii="Century Schoolbook" w:eastAsia="Century Schoolbook" w:hAnsi="Century Schoolbook" w:cs="Century Schoolbook"/>
      <w:w w:val="100"/>
      <w:spacing w:val="0"/>
      <w:color w:val="000000"/>
      <w:position w:val="0"/>
    </w:rPr>
  </w:style>
  <w:style w:type="character" w:customStyle="1" w:styleId="CharStyle29">
    <w:name w:val="Titulek obrázku (3) + Ne tučné Exact"/>
    <w:basedOn w:val="CharStyle27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0">
    <w:name w:val="Titulek obrázku (3) Exact"/>
    <w:basedOn w:val="CharStyle27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2">
    <w:name w:val="Titulek obrázku (4) Exact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sz w:val="17"/>
      <w:szCs w:val="17"/>
      <w:rFonts w:ascii="Century Schoolbook" w:eastAsia="Century Schoolbook" w:hAnsi="Century Schoolbook" w:cs="Century Schoolbook"/>
      <w:spacing w:val="-10"/>
    </w:rPr>
  </w:style>
  <w:style w:type="character" w:customStyle="1" w:styleId="CharStyle33">
    <w:name w:val="Titulek obrázku (4) Exact"/>
    <w:basedOn w:val="CharStyle32"/>
    <w:rPr>
      <w:lang w:val="cs-CZ" w:eastAsia="cs-CZ" w:bidi="cs-CZ"/>
      <w:w w:val="100"/>
      <w:color w:val="000000"/>
      <w:position w:val="0"/>
    </w:rPr>
  </w:style>
  <w:style w:type="character" w:customStyle="1" w:styleId="CharStyle34">
    <w:name w:val="Titulek obrázku (4) Exact"/>
    <w:basedOn w:val="CharStyle32"/>
    <w:rPr>
      <w:lang w:val="cs-CZ" w:eastAsia="cs-CZ" w:bidi="cs-CZ"/>
      <w:u w:val="single"/>
      <w:w w:val="100"/>
      <w:color w:val="000000"/>
      <w:position w:val="0"/>
    </w:rPr>
  </w:style>
  <w:style w:type="character" w:customStyle="1" w:styleId="CharStyle35">
    <w:name w:val="Titulek obrázku (4) Exact"/>
    <w:basedOn w:val="CharStyle32"/>
    <w:rPr>
      <w:lang w:val="cs-CZ" w:eastAsia="cs-CZ" w:bidi="cs-CZ"/>
      <w:w w:val="100"/>
      <w:color w:val="000000"/>
      <w:position w:val="0"/>
    </w:rPr>
  </w:style>
  <w:style w:type="character" w:customStyle="1" w:styleId="CharStyle36">
    <w:name w:val="Titulek obrázku + Garamond,8 pt,Tučné,Kurzíva Exact"/>
    <w:basedOn w:val="CharStyle4"/>
    <w:rPr>
      <w:lang w:val="cs-CZ" w:eastAsia="cs-CZ" w:bidi="cs-CZ"/>
      <w:b/>
      <w:bCs/>
      <w:i/>
      <w:iCs/>
      <w:sz w:val="16"/>
      <w:szCs w:val="16"/>
      <w:rFonts w:ascii="Garamond" w:eastAsia="Garamond" w:hAnsi="Garamond" w:cs="Garamond"/>
      <w:w w:val="100"/>
      <w:spacing w:val="0"/>
      <w:color w:val="000000"/>
      <w:position w:val="0"/>
    </w:rPr>
  </w:style>
  <w:style w:type="paragraph" w:customStyle="1" w:styleId="Style3">
    <w:name w:val="Titulek obrázku"/>
    <w:basedOn w:val="Normal"/>
    <w:link w:val="CharStyle4"/>
    <w:pPr>
      <w:widowControl w:val="0"/>
      <w:shd w:val="clear" w:color="auto" w:fill="FFFFFF"/>
      <w:spacing w:line="0" w:lineRule="exact"/>
      <w:ind w:hanging="240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5">
    <w:name w:val="Základní text (2)"/>
    <w:basedOn w:val="Normal"/>
    <w:link w:val="CharStyle7"/>
    <w:pPr>
      <w:widowControl w:val="0"/>
      <w:shd w:val="clear" w:color="auto" w:fill="FFFFFF"/>
      <w:jc w:val="both"/>
      <w:spacing w:after="300" w:line="0" w:lineRule="exact"/>
      <w:ind w:hanging="500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8">
    <w:name w:val="Základní text (3)"/>
    <w:basedOn w:val="Normal"/>
    <w:link w:val="CharStyle9"/>
    <w:pPr>
      <w:widowControl w:val="0"/>
      <w:shd w:val="clear" w:color="auto" w:fill="FFFFFF"/>
      <w:jc w:val="both"/>
      <w:spacing w:line="259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10">
    <w:name w:val="Základní text (4)"/>
    <w:basedOn w:val="Normal"/>
    <w:link w:val="CharStyle11"/>
    <w:pPr>
      <w:widowControl w:val="0"/>
      <w:shd w:val="clear" w:color="auto" w:fill="FFFFFF"/>
      <w:jc w:val="center"/>
      <w:spacing w:before="240" w:after="420"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Calibri" w:eastAsia="Calibri" w:hAnsi="Calibri" w:cs="Calibri"/>
      <w:spacing w:val="30"/>
    </w:rPr>
  </w:style>
  <w:style w:type="paragraph" w:customStyle="1" w:styleId="Style12">
    <w:name w:val="Nadpis #1"/>
    <w:basedOn w:val="Normal"/>
    <w:link w:val="CharStyle13"/>
    <w:pPr>
      <w:widowControl w:val="0"/>
      <w:shd w:val="clear" w:color="auto" w:fill="FFFFFF"/>
      <w:jc w:val="center"/>
      <w:outlineLvl w:val="0"/>
      <w:spacing w:before="420" w:after="6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14">
    <w:name w:val="Základní text (5)"/>
    <w:basedOn w:val="Normal"/>
    <w:link w:val="CharStyle15"/>
    <w:pPr>
      <w:widowControl w:val="0"/>
      <w:shd w:val="clear" w:color="auto" w:fill="FFFFFF"/>
      <w:spacing w:before="240" w:after="60"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Calibri" w:eastAsia="Calibri" w:hAnsi="Calibri" w:cs="Calibri"/>
    </w:rPr>
  </w:style>
  <w:style w:type="paragraph" w:customStyle="1" w:styleId="Style16">
    <w:name w:val="Základní text (6)"/>
    <w:basedOn w:val="Normal"/>
    <w:link w:val="CharStyle17"/>
    <w:pPr>
      <w:widowControl w:val="0"/>
      <w:shd w:val="clear" w:color="auto" w:fill="FFFFFF"/>
      <w:spacing w:before="240" w:after="60" w:line="0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Calibri" w:eastAsia="Calibri" w:hAnsi="Calibri" w:cs="Calibri"/>
    </w:rPr>
  </w:style>
  <w:style w:type="paragraph" w:customStyle="1" w:styleId="Style18">
    <w:name w:val="Základní text (7)"/>
    <w:basedOn w:val="Normal"/>
    <w:link w:val="CharStyle19"/>
    <w:pPr>
      <w:widowControl w:val="0"/>
      <w:shd w:val="clear" w:color="auto" w:fill="FFFFFF"/>
      <w:jc w:val="center"/>
      <w:spacing w:before="60" w:after="30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20">
    <w:name w:val="Základní text (8)"/>
    <w:basedOn w:val="Normal"/>
    <w:link w:val="CharStyle21"/>
    <w:pPr>
      <w:widowControl w:val="0"/>
      <w:shd w:val="clear" w:color="auto" w:fill="FFFFFF"/>
      <w:spacing w:before="240" w:after="60"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Calibri" w:eastAsia="Calibri" w:hAnsi="Calibri" w:cs="Calibri"/>
    </w:rPr>
  </w:style>
  <w:style w:type="paragraph" w:customStyle="1" w:styleId="Style22">
    <w:name w:val="Titulek obrázku (2)"/>
    <w:basedOn w:val="Normal"/>
    <w:link w:val="CharStyle23"/>
    <w:pPr>
      <w:widowControl w:val="0"/>
      <w:shd w:val="clear" w:color="auto" w:fill="FFFFFF"/>
      <w:jc w:val="right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Garamond" w:eastAsia="Garamond" w:hAnsi="Garamond" w:cs="Garamond"/>
    </w:rPr>
  </w:style>
  <w:style w:type="paragraph" w:customStyle="1" w:styleId="Style26">
    <w:name w:val="Titulek obrázku (3)"/>
    <w:basedOn w:val="Normal"/>
    <w:link w:val="CharStyle27"/>
    <w:pPr>
      <w:widowControl w:val="0"/>
      <w:shd w:val="clear" w:color="auto" w:fill="FFFFFF"/>
      <w:spacing w:line="168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Garamond" w:eastAsia="Garamond" w:hAnsi="Garamond" w:cs="Garamond"/>
    </w:rPr>
  </w:style>
  <w:style w:type="paragraph" w:customStyle="1" w:styleId="Style31">
    <w:name w:val="Titulek obrázku (4)"/>
    <w:basedOn w:val="Normal"/>
    <w:link w:val="CharStyle32"/>
    <w:pPr>
      <w:widowControl w:val="0"/>
      <w:shd w:val="clear" w:color="auto" w:fill="FFFFFF"/>
      <w:jc w:val="right"/>
      <w:spacing w:line="168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Century Schoolbook" w:eastAsia="Century Schoolbook" w:hAnsi="Century Schoolbook" w:cs="Century Schoolbook"/>
      <w:spacing w:val="-1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