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32715" simplePos="0" relativeHeight="125829378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12700</wp:posOffset>
            </wp:positionV>
            <wp:extent cx="2164080" cy="96647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372110</wp:posOffset>
                </wp:positionV>
                <wp:extent cx="1341120" cy="3473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3.pt;margin-top:29.300000000000001pt;width:105.60000000000001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ZEMĚDĚLSKÝ SERVIS s.r.o.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 zn.: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2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Ze dne: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Třeboutice 38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210" w:val="left"/>
        </w:tabs>
        <w:bidi w:val="0"/>
        <w:spacing w:before="0" w:after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  <w:tab/>
        <w:t>POH/01674/2025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10" w:val="left"/>
          <w:tab w:pos="5410" w:val="center"/>
          <w:tab w:pos="5899" w:val="right"/>
          <w:tab w:pos="6389" w:val="center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80808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Vyřizuje:</w:t>
        <w:tab/>
        <w:t>….</w:t>
      </w:r>
      <w:r>
        <w:rPr>
          <w:color w:val="80808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412</w:t>
        <w:tab/>
        <w:t>01</w:t>
        <w:tab/>
        <w:t>Křešice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10" w:val="left"/>
        </w:tabs>
        <w:bidi w:val="0"/>
        <w:spacing w:before="0" w:after="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….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10" w:val="left"/>
        </w:tabs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  <w:tab/>
        <w:t>….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10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  <w:t>….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210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09.01.2025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461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301955/321/2025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461" w:val="left"/>
        </w:tabs>
        <w:bidi w:val="0"/>
        <w:spacing w:before="0" w:after="18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31.12.2024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zajišťování oprav traktorů Zetor a zemědělské techniky v majetku Povodí Ohře, státní podnik, závod Terezín v průběhu kalendářního roku 2025.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práce budou upřesňovat podle našich potřeb níže uvedené kontaktní osoby, se kterými se dohodnete na jejich rozsahu a termínu.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prací a materiálu bude stanovena dle aktuálně platného ceníku zhotovitele.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Kontaktní osoba: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limit celkového plnění pro tuto objednávku je 100000 Kč bez DPH.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fakturách uveďte číslo objednávky a tyto údaje o objednateli: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17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176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Faktury doručujte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sectPr>
      <w:footnotePr>
        <w:pos w:val="pageBottom"/>
        <w:numFmt w:val="decimal"/>
        <w:numRestart w:val="continuous"/>
      </w:footnotePr>
      <w:pgSz w:w="11909" w:h="16838"/>
      <w:pgMar w:top="677" w:left="1111" w:right="828" w:bottom="677" w:header="249" w:footer="2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