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0"/>
        <w:gridCol w:w="3130"/>
        <w:gridCol w:w="2386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 IN s.r.o.</w:t>
            </w:r>
          </w:p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……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POH/01680/2025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6725" w:h="3816" w:hSpace="3245" w:vSpace="1147" w:wrap="none" w:hAnchor="page" w:x="1112" w:y="567"/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80808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09.01.2025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725" w:h="3816" w:hSpace="3245" w:vSpace="1147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Kontaktní adresa: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725" w:h="3816" w:hSpace="3245" w:vSpace="1147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725" w:h="3816" w:hSpace="3245" w:vSpace="1147" w:wrap="none" w:hAnchor="page" w:x="1112" w:y="567"/>
        <w:widowControl w:val="0"/>
        <w:spacing w:line="1" w:lineRule="exact"/>
      </w:pPr>
    </w:p>
    <w:p>
      <w:pPr>
        <w:pStyle w:val="Style7"/>
        <w:keepNext w:val="0"/>
        <w:keepLines w:val="0"/>
        <w:framePr w:w="9970" w:h="274" w:wrap="none" w:hAnchor="page" w:x="1112" w:y="4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302955/125/2025</w:t>
      </w:r>
    </w:p>
    <w:p>
      <w:pPr>
        <w:pStyle w:val="Style7"/>
        <w:keepNext w:val="0"/>
        <w:keepLines w:val="0"/>
        <w:framePr w:w="9970" w:h="758" w:wrap="none" w:hAnchor="page" w:x="1112" w:y="4772"/>
        <w:widowControl w:val="0"/>
        <w:shd w:val="clear" w:color="auto" w:fill="auto"/>
        <w:tabs>
          <w:tab w:pos="3499" w:val="left"/>
        </w:tabs>
        <w:bidi w:val="0"/>
        <w:spacing w:before="0" w:after="0" w:line="264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31.12.2025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5330" w:header="249" w:footer="490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zajišťování servisních prohlídek a oprav automobilů Ford v majetku Povodí Ohře, státní podnik, středisko Česká Lípa v průběhu kalendářního roku 2025.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práce budou upřesňovat podle našich potřeb níže uvedené kontaktní osoby, se kterými se dohodnete na jejich rozsahu a termínu.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prací a materiálu bude stanovena dle aktuálně platného ceníku dodavatele.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122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údaje:</w:t>
        <w:tab/>
        <w:t>….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limit celkového plnění pro tuto objednávku je 100000 Kč bez DPH.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fakturách uveďte číslo objednávky a tyto údaje o objednateli: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Faktury doručujte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