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ED6" w14:textId="0AAA0341" w:rsidR="00DD6D00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696D85" w:rsidRPr="00992509">
        <w:t>51</w:t>
      </w:r>
      <w:r w:rsidR="00992509" w:rsidRPr="00992509">
        <w:t>9</w:t>
      </w:r>
      <w:r w:rsidR="00696D85">
        <w:t>/2024</w:t>
      </w:r>
    </w:p>
    <w:p w14:paraId="57B837B6" w14:textId="6533674D" w:rsidR="006F3A2E" w:rsidRDefault="006F3A2E" w:rsidP="002216B4">
      <w:pPr>
        <w:tabs>
          <w:tab w:val="left" w:pos="2552"/>
        </w:tabs>
        <w:spacing w:before="120"/>
      </w:pPr>
      <w:r w:rsidRPr="006F3A2E">
        <w:t xml:space="preserve">Číslo veřejné zakázky: </w:t>
      </w:r>
      <w:r>
        <w:tab/>
      </w:r>
      <w:r w:rsidR="00D73D93">
        <w:t>12/2024</w:t>
      </w:r>
    </w:p>
    <w:p w14:paraId="77F863EB" w14:textId="0B09B1F1" w:rsidR="009746A0" w:rsidRDefault="00065A45" w:rsidP="00992509">
      <w:pPr>
        <w:pStyle w:val="Nzev"/>
        <w:spacing w:after="120"/>
        <w:jc w:val="both"/>
      </w:pPr>
      <w:r>
        <w:t>Smlouva o kontrole správnosti sledování a měření objemu vypouštěných odpadních vod</w:t>
      </w:r>
      <w:r w:rsidR="002160F9">
        <w:t xml:space="preserve"> </w:t>
      </w:r>
    </w:p>
    <w:p w14:paraId="0F1E3565" w14:textId="21DF4ABA" w:rsidR="00B727F2" w:rsidRPr="00A80704" w:rsidRDefault="00992509" w:rsidP="00992509">
      <w:pPr>
        <w:pStyle w:val="Nzev"/>
        <w:spacing w:before="120"/>
        <w:jc w:val="both"/>
        <w:rPr>
          <w:caps w:val="0"/>
        </w:rPr>
      </w:pPr>
      <w:r w:rsidRPr="00992509">
        <w:rPr>
          <w:rFonts w:cs="Segoe UI"/>
          <w:caps w:val="0"/>
          <w:szCs w:val="36"/>
        </w:rPr>
        <w:t>-</w:t>
      </w:r>
      <w:r>
        <w:rPr>
          <w:rFonts w:cs="Segoe UI"/>
          <w:caps w:val="0"/>
          <w:szCs w:val="36"/>
        </w:rPr>
        <w:t xml:space="preserve"> </w:t>
      </w:r>
      <w:r w:rsidR="00DA1706">
        <w:rPr>
          <w:rFonts w:cs="Segoe UI"/>
          <w:caps w:val="0"/>
          <w:szCs w:val="36"/>
        </w:rPr>
        <w:t>Plzeňský 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5122BDE9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B32141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11D07427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1302CB">
        <w:rPr>
          <w:rFonts w:cs="Segoe UI"/>
        </w:rPr>
        <w:t xml:space="preserve"> </w:t>
      </w:r>
      <w:r w:rsidR="001302CB" w:rsidRPr="001302CB">
        <w:rPr>
          <w:rFonts w:cs="Segoe UI"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1302CB" w:rsidRPr="001302CB">
        <w:rPr>
          <w:rFonts w:cs="Segoe UI"/>
          <w:highlight w:val="yellow"/>
        </w:rPr>
        <w:t>XXX</w:t>
      </w:r>
    </w:p>
    <w:p w14:paraId="6EB3A6F9" w14:textId="77777777" w:rsidR="00B32141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</w:t>
      </w:r>
      <w:r>
        <w:rPr>
          <w:rFonts w:cs="Segoe UI"/>
          <w:iCs/>
        </w:rPr>
        <w:t>s</w:t>
      </w:r>
      <w:r w:rsidRPr="00FD0517">
        <w:rPr>
          <w:rFonts w:cs="Segoe UI"/>
          <w:iCs/>
        </w:rPr>
        <w:t>mlouvy:</w:t>
      </w:r>
    </w:p>
    <w:p w14:paraId="6219577A" w14:textId="0812518F" w:rsidR="00B32141" w:rsidRPr="00B32141" w:rsidRDefault="001302CB" w:rsidP="00B32141">
      <w:pPr>
        <w:rPr>
          <w:rFonts w:cs="Segoe UI"/>
          <w:iCs/>
        </w:rPr>
      </w:pPr>
      <w:r w:rsidRPr="001302CB">
        <w:rPr>
          <w:rFonts w:cs="Segoe UI"/>
          <w:highlight w:val="yellow"/>
        </w:rPr>
        <w:t>XXX</w:t>
      </w:r>
      <w:r w:rsidR="00B32141" w:rsidRPr="00B32141">
        <w:rPr>
          <w:rFonts w:cs="Segoe UI"/>
          <w:iCs/>
        </w:rPr>
        <w:t>, tel.:</w:t>
      </w:r>
      <w:r w:rsidRPr="001302CB">
        <w:rPr>
          <w:rFonts w:cs="Segoe UI"/>
          <w:highlight w:val="yellow"/>
        </w:rPr>
        <w:t xml:space="preserve"> </w:t>
      </w:r>
      <w:r w:rsidRPr="001302CB">
        <w:rPr>
          <w:rFonts w:cs="Segoe UI"/>
          <w:highlight w:val="yellow"/>
        </w:rPr>
        <w:t>XXX</w:t>
      </w:r>
      <w:r w:rsidR="00B32141" w:rsidRPr="00B32141">
        <w:rPr>
          <w:rFonts w:cs="Segoe UI"/>
          <w:iCs/>
        </w:rPr>
        <w:t>, e-mail:</w:t>
      </w:r>
      <w:r w:rsidRPr="001302CB">
        <w:rPr>
          <w:rFonts w:cs="Segoe UI"/>
          <w:highlight w:val="yellow"/>
        </w:rPr>
        <w:t xml:space="preserve"> </w:t>
      </w:r>
      <w:r w:rsidRPr="001302CB">
        <w:rPr>
          <w:rFonts w:cs="Segoe UI"/>
          <w:highlight w:val="yellow"/>
        </w:rPr>
        <w:t>XXX</w:t>
      </w:r>
      <w:r w:rsidR="00B32141" w:rsidRPr="00B32141">
        <w:rPr>
          <w:rFonts w:cs="Segoe UI"/>
          <w:iCs/>
        </w:rPr>
        <w:t>;</w:t>
      </w:r>
    </w:p>
    <w:p w14:paraId="1431E1A9" w14:textId="4D5A94D6" w:rsidR="00D73D93" w:rsidRPr="007C5BBC" w:rsidRDefault="001302CB" w:rsidP="00D73D93">
      <w:pPr>
        <w:rPr>
          <w:rFonts w:cs="Segoe UI"/>
          <w:iCs/>
        </w:rPr>
      </w:pPr>
      <w:r w:rsidRPr="001302CB">
        <w:rPr>
          <w:rFonts w:cs="Segoe UI"/>
          <w:highlight w:val="yellow"/>
        </w:rPr>
        <w:t>XXX</w:t>
      </w:r>
      <w:r w:rsidR="00B32141" w:rsidRPr="00B32141">
        <w:rPr>
          <w:rFonts w:cs="Segoe UI"/>
          <w:iCs/>
        </w:rPr>
        <w:t>, tel.:</w:t>
      </w:r>
      <w:r w:rsidRPr="001302CB">
        <w:rPr>
          <w:rFonts w:cs="Segoe UI"/>
          <w:highlight w:val="yellow"/>
        </w:rPr>
        <w:t xml:space="preserve"> </w:t>
      </w:r>
      <w:r w:rsidRPr="001302CB">
        <w:rPr>
          <w:rFonts w:cs="Segoe UI"/>
          <w:highlight w:val="yellow"/>
        </w:rPr>
        <w:t>XXX</w:t>
      </w:r>
      <w:r w:rsidR="00B32141" w:rsidRPr="00B32141">
        <w:rPr>
          <w:rFonts w:cs="Segoe UI"/>
          <w:iCs/>
        </w:rPr>
        <w:t xml:space="preserve">, e-mail: </w:t>
      </w:r>
      <w:r w:rsidRPr="001302CB">
        <w:rPr>
          <w:rFonts w:cs="Segoe UI"/>
          <w:highlight w:val="yellow"/>
        </w:rPr>
        <w:t>XXX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2C76592C" w14:textId="77777777" w:rsidR="00D73D93" w:rsidRPr="002B61C9" w:rsidRDefault="00D73D93" w:rsidP="00D73D93">
      <w:pPr>
        <w:spacing w:before="240" w:after="240"/>
      </w:pPr>
      <w:r w:rsidRPr="002B61C9">
        <w:t>a</w:t>
      </w:r>
    </w:p>
    <w:p w14:paraId="5347C58C" w14:textId="50362838" w:rsidR="00D73D93" w:rsidRPr="0018668F" w:rsidRDefault="00696D85" w:rsidP="00D73D93">
      <w:pPr>
        <w:rPr>
          <w:rFonts w:cs="Segoe UI"/>
          <w:b/>
          <w:bCs/>
          <w:iCs/>
        </w:rPr>
      </w:pPr>
      <w:r>
        <w:rPr>
          <w:rFonts w:cs="Segoe UI"/>
          <w:b/>
          <w:bCs/>
          <w:iCs/>
        </w:rPr>
        <w:t>Pražské vodovody a kanalizace, a. s.</w:t>
      </w:r>
    </w:p>
    <w:p w14:paraId="03728087" w14:textId="534183BE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zapsaná v</w:t>
      </w:r>
      <w:r w:rsidR="00D26C8B" w:rsidRPr="00586741">
        <w:rPr>
          <w:rFonts w:cs="Segoe UI"/>
        </w:rPr>
        <w:t xml:space="preserve"> obchodním rejstříku vedeném Městským soudem v</w:t>
      </w:r>
      <w:r w:rsidR="00D26C8B">
        <w:rPr>
          <w:rFonts w:cs="Segoe UI"/>
        </w:rPr>
        <w:t> </w:t>
      </w:r>
      <w:r w:rsidR="00D26C8B" w:rsidRPr="00586741">
        <w:rPr>
          <w:rFonts w:cs="Segoe UI"/>
        </w:rPr>
        <w:t>Praze</w:t>
      </w:r>
      <w:r w:rsidR="00D26C8B">
        <w:rPr>
          <w:rFonts w:cs="Segoe UI"/>
        </w:rPr>
        <w:t>, oddíl</w:t>
      </w:r>
      <w:r w:rsidR="00D26C8B" w:rsidRPr="00696D85">
        <w:rPr>
          <w:rFonts w:cs="Segoe UI"/>
        </w:rPr>
        <w:t xml:space="preserve"> </w:t>
      </w:r>
      <w:r w:rsidR="00696D85" w:rsidRPr="00696D85">
        <w:rPr>
          <w:rFonts w:cs="Segoe UI"/>
        </w:rPr>
        <w:t>B</w:t>
      </w:r>
      <w:r w:rsidR="00D26C8B">
        <w:rPr>
          <w:rFonts w:cs="Segoe UI"/>
        </w:rPr>
        <w:t>, vložka</w:t>
      </w:r>
      <w:r w:rsidR="00696D85" w:rsidRPr="00696D85">
        <w:rPr>
          <w:rFonts w:cs="Segoe UI"/>
        </w:rPr>
        <w:t xml:space="preserve"> 5297 </w:t>
      </w:r>
    </w:p>
    <w:p w14:paraId="5AB96766" w14:textId="381157A5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sídlo podnikání: </w:t>
      </w:r>
      <w:r w:rsidR="00696D85">
        <w:rPr>
          <w:rFonts w:cs="Segoe UI"/>
        </w:rPr>
        <w:t>Ke Kablu 971/1, Hostivař, 102 00 Praha 10</w:t>
      </w:r>
    </w:p>
    <w:p w14:paraId="15C0A247" w14:textId="7EFB6632" w:rsidR="00D73D93" w:rsidRPr="00B32141" w:rsidRDefault="00D73D93" w:rsidP="00D73D93">
      <w:pPr>
        <w:rPr>
          <w:rFonts w:cs="Segoe UI"/>
          <w:iCs/>
        </w:rPr>
      </w:pPr>
      <w:r w:rsidRPr="00FD0517">
        <w:rPr>
          <w:rFonts w:cs="Segoe UI"/>
        </w:rPr>
        <w:t>zastoupena</w:t>
      </w:r>
      <w:r w:rsidRPr="00B32141">
        <w:rPr>
          <w:rFonts w:cs="Segoe UI"/>
        </w:rPr>
        <w:t xml:space="preserve">: </w:t>
      </w:r>
      <w:r w:rsidR="00B32141" w:rsidRPr="00C35644">
        <w:rPr>
          <w:rFonts w:cs="Segoe UI"/>
        </w:rPr>
        <w:t>Ing. Petrem Mrkosem, místopředsedou představenstva a generálním ředitelem</w:t>
      </w:r>
    </w:p>
    <w:p w14:paraId="1A1E38B0" w14:textId="466AA85B" w:rsidR="00D73D93" w:rsidRPr="00FD0517" w:rsidRDefault="00D73D93" w:rsidP="00D73D93">
      <w:pPr>
        <w:rPr>
          <w:rFonts w:cs="Segoe UI"/>
        </w:rPr>
      </w:pPr>
      <w:r w:rsidRPr="00B32141">
        <w:rPr>
          <w:rFonts w:cs="Segoe UI"/>
        </w:rPr>
        <w:t>IČ</w:t>
      </w:r>
      <w:r w:rsidR="00B32141">
        <w:rPr>
          <w:rFonts w:cs="Segoe UI"/>
        </w:rPr>
        <w:t>O</w:t>
      </w:r>
      <w:r w:rsidRPr="00B32141">
        <w:rPr>
          <w:rFonts w:cs="Segoe UI"/>
        </w:rPr>
        <w:t xml:space="preserve">: </w:t>
      </w:r>
      <w:r w:rsidR="00696D85" w:rsidRPr="00B32141">
        <w:rPr>
          <w:rFonts w:cs="Segoe UI"/>
        </w:rPr>
        <w:t>25656635</w:t>
      </w:r>
    </w:p>
    <w:p w14:paraId="147188F0" w14:textId="32E1DFAD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DIČ: </w:t>
      </w:r>
      <w:r w:rsidR="00696D85">
        <w:rPr>
          <w:rFonts w:cs="Segoe UI"/>
        </w:rPr>
        <w:t>CZ25656635</w:t>
      </w:r>
    </w:p>
    <w:p w14:paraId="11400E38" w14:textId="0E9EC778" w:rsidR="002D48CB" w:rsidRDefault="002D48CB" w:rsidP="00D73D93">
      <w:pPr>
        <w:rPr>
          <w:rFonts w:cs="Segoe UI"/>
        </w:rPr>
      </w:pPr>
      <w:r w:rsidRPr="00FD0517">
        <w:rPr>
          <w:rFonts w:cs="Segoe UI"/>
          <w:iCs/>
        </w:rPr>
        <w:t xml:space="preserve">korespondenční adresa: </w:t>
      </w:r>
      <w:r>
        <w:rPr>
          <w:rFonts w:cs="Segoe UI"/>
        </w:rPr>
        <w:t>Ke Kablu 971/1, Hostivař, 102 00 Praha 10</w:t>
      </w:r>
    </w:p>
    <w:p w14:paraId="6ACDC442" w14:textId="21BC548E" w:rsidR="00B32141" w:rsidRPr="00B32141" w:rsidRDefault="00B32141" w:rsidP="00B32141">
      <w:pPr>
        <w:rPr>
          <w:rFonts w:cs="Segoe UI"/>
          <w:iCs/>
        </w:rPr>
      </w:pPr>
      <w:r w:rsidRPr="00B32141">
        <w:rPr>
          <w:rFonts w:cs="Segoe UI"/>
          <w:iCs/>
        </w:rPr>
        <w:t>bankovní spojení:</w:t>
      </w:r>
      <w:r w:rsidR="001302CB" w:rsidRPr="001302CB">
        <w:rPr>
          <w:rFonts w:cs="Segoe UI"/>
          <w:highlight w:val="yellow"/>
        </w:rPr>
        <w:t xml:space="preserve"> </w:t>
      </w:r>
      <w:r w:rsidR="001302CB" w:rsidRPr="001302CB">
        <w:rPr>
          <w:rFonts w:cs="Segoe UI"/>
          <w:highlight w:val="yellow"/>
        </w:rPr>
        <w:t>XXX</w:t>
      </w:r>
      <w:r w:rsidRPr="00B32141">
        <w:rPr>
          <w:rFonts w:cs="Segoe UI"/>
          <w:iCs/>
        </w:rPr>
        <w:t xml:space="preserve">, č. účtu: </w:t>
      </w:r>
      <w:r w:rsidR="001302CB" w:rsidRPr="001302CB">
        <w:rPr>
          <w:rFonts w:cs="Segoe UI"/>
          <w:highlight w:val="yellow"/>
        </w:rPr>
        <w:t>XXX</w:t>
      </w:r>
    </w:p>
    <w:p w14:paraId="72EF0332" w14:textId="77ABCFD6" w:rsidR="00B32141" w:rsidRPr="00B32141" w:rsidRDefault="00B32141" w:rsidP="00B32141">
      <w:pPr>
        <w:rPr>
          <w:rFonts w:cs="Segoe UI"/>
          <w:iCs/>
        </w:rPr>
      </w:pPr>
      <w:r w:rsidRPr="00B32141">
        <w:rPr>
          <w:rFonts w:cs="Segoe UI"/>
          <w:iCs/>
        </w:rPr>
        <w:t>kontaktní osoba pro účely smlouvy:</w:t>
      </w:r>
      <w:r w:rsidR="001302CB" w:rsidRPr="001302CB">
        <w:rPr>
          <w:rFonts w:cs="Segoe UI"/>
          <w:highlight w:val="yellow"/>
        </w:rPr>
        <w:t xml:space="preserve"> </w:t>
      </w:r>
      <w:r w:rsidR="001302CB" w:rsidRPr="001302CB">
        <w:rPr>
          <w:rFonts w:cs="Segoe UI"/>
          <w:highlight w:val="yellow"/>
        </w:rPr>
        <w:t>XXX</w:t>
      </w:r>
      <w:r w:rsidRPr="00B32141">
        <w:rPr>
          <w:rFonts w:cs="Segoe UI"/>
          <w:iCs/>
        </w:rPr>
        <w:t>, tel.:</w:t>
      </w:r>
      <w:r w:rsidR="001302CB" w:rsidRPr="001302CB">
        <w:rPr>
          <w:rFonts w:cs="Segoe UI"/>
          <w:highlight w:val="yellow"/>
        </w:rPr>
        <w:t xml:space="preserve"> </w:t>
      </w:r>
      <w:r w:rsidR="001302CB" w:rsidRPr="001302CB">
        <w:rPr>
          <w:rFonts w:cs="Segoe UI"/>
          <w:highlight w:val="yellow"/>
        </w:rPr>
        <w:t>XXX</w:t>
      </w:r>
      <w:r w:rsidRPr="00B32141">
        <w:rPr>
          <w:rFonts w:cs="Segoe UI"/>
          <w:iCs/>
        </w:rPr>
        <w:t xml:space="preserve">, </w:t>
      </w:r>
    </w:p>
    <w:p w14:paraId="6C20948F" w14:textId="6756661C" w:rsidR="00D73D93" w:rsidRPr="00FD0517" w:rsidRDefault="00B32141" w:rsidP="00D73D93">
      <w:pPr>
        <w:rPr>
          <w:rFonts w:cs="Segoe UI"/>
          <w:iCs/>
        </w:rPr>
      </w:pPr>
      <w:r w:rsidRPr="00B32141">
        <w:rPr>
          <w:rFonts w:cs="Segoe UI"/>
          <w:iCs/>
        </w:rPr>
        <w:t xml:space="preserve">e-mail: </w:t>
      </w:r>
      <w:r w:rsidR="001302CB" w:rsidRPr="001302CB">
        <w:rPr>
          <w:rFonts w:cs="Segoe UI"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3EC0494E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992509">
        <w:rPr>
          <w:rFonts w:cs="Segoe UI"/>
        </w:rPr>
        <w:t xml:space="preserve"> Plzeňský kraj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ust.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561731EC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D26C8B">
        <w:t xml:space="preserve"> </w:t>
      </w:r>
      <w:r w:rsidR="00992509">
        <w:t>Plzeňsk</w:t>
      </w:r>
      <w:r w:rsidR="00992509" w:rsidRPr="00992509">
        <w:t xml:space="preserve">ý </w:t>
      </w:r>
      <w:r w:rsidR="00D26C8B" w:rsidRPr="00992509">
        <w:t>kraj</w:t>
      </w:r>
      <w:r w:rsidR="00412864" w:rsidRPr="00992509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r>
        <w:t>ust.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(.xlsx)</w:t>
      </w:r>
      <w:r w:rsidRPr="000B380C">
        <w:t xml:space="preserve"> Čtvrtletní plán kontrol</w:t>
      </w:r>
      <w:r>
        <w:t xml:space="preserve"> a jediném dokumentu (.xlsx)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 xml:space="preserve">využívající oprávnění dle § 103 odst. 5 vodního zákona, postupují při výkonu činnosti v souladu s ust.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3B55263C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992509" w:rsidRPr="00992509">
        <w:rPr>
          <w:b/>
          <w:bCs/>
        </w:rPr>
        <w:t>9 500</w:t>
      </w:r>
      <w:r w:rsidR="00992509"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228B4B88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992509" w:rsidRPr="00992509">
        <w:rPr>
          <w:b/>
          <w:bCs/>
        </w:rPr>
        <w:t>818 628</w:t>
      </w:r>
      <w:r w:rsidR="00992509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43F86D1C" w:rsidR="004D17B2" w:rsidRPr="0053495E" w:rsidRDefault="00992509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992509">
              <w:t>204 657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2F877C35" w:rsidR="004D17B2" w:rsidRPr="0053495E" w:rsidRDefault="00992509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992509">
              <w:t>204 657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6472DC77" w:rsidR="004D17B2" w:rsidRPr="0053495E" w:rsidRDefault="00992509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992509">
              <w:t>204 657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551CACEE" w:rsidR="004D17B2" w:rsidRPr="0053495E" w:rsidRDefault="00992509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992509">
              <w:t>204 657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147690C5" w:rsidR="004D17B2" w:rsidRPr="0053495E" w:rsidRDefault="00992509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  <w:highlight w:val="yellow"/>
              </w:rPr>
            </w:pPr>
            <w:r w:rsidRPr="00992509">
              <w:rPr>
                <w:b/>
              </w:rPr>
              <w:t>818 628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ust.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ust.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6B737D9B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B32141">
        <w:rPr>
          <w:rFonts w:cs="Segoe UI"/>
          <w:szCs w:val="18"/>
        </w:rPr>
        <w:t>;</w:t>
      </w:r>
    </w:p>
    <w:p w14:paraId="650FC553" w14:textId="02E90EFA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>
        <w:rPr>
          <w:rFonts w:cs="Segoe UI"/>
          <w:szCs w:val="18"/>
        </w:rPr>
        <w:t>:</w:t>
      </w:r>
      <w:r w:rsidR="0053495E">
        <w:rPr>
          <w:rFonts w:cs="Segoe UI"/>
          <w:szCs w:val="18"/>
        </w:rPr>
        <w:t xml:space="preserve"> </w:t>
      </w:r>
      <w:r w:rsidR="0053495E" w:rsidRPr="00992509">
        <w:rPr>
          <w:rFonts w:cs="Segoe UI"/>
          <w:szCs w:val="18"/>
        </w:rPr>
        <w:t>51</w:t>
      </w:r>
      <w:r w:rsidR="00992509" w:rsidRPr="00992509">
        <w:rPr>
          <w:rFonts w:cs="Segoe UI"/>
          <w:szCs w:val="18"/>
        </w:rPr>
        <w:t>9</w:t>
      </w:r>
      <w:r w:rsidR="0053495E" w:rsidRPr="00992509">
        <w:rPr>
          <w:rFonts w:cs="Segoe UI"/>
          <w:szCs w:val="18"/>
        </w:rPr>
        <w:t>/2024</w:t>
      </w:r>
      <w:r w:rsidRPr="00992509"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9861C0">
        <w:tc>
          <w:tcPr>
            <w:tcW w:w="796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9861C0">
        <w:tc>
          <w:tcPr>
            <w:tcW w:w="7968" w:type="dxa"/>
          </w:tcPr>
          <w:p w14:paraId="304A4B85" w14:textId="52BE315E" w:rsidR="004443C0" w:rsidRDefault="001302CB" w:rsidP="004443C0">
            <w:r w:rsidRPr="001302CB">
              <w:rPr>
                <w:rFonts w:cs="Segoe UI"/>
                <w:highlight w:val="yellow"/>
              </w:rPr>
              <w:t>XXX</w:t>
            </w:r>
          </w:p>
        </w:tc>
      </w:tr>
      <w:tr w:rsidR="004443C0" w14:paraId="2E3C7A1C" w14:textId="77777777" w:rsidTr="009861C0">
        <w:tc>
          <w:tcPr>
            <w:tcW w:w="7968" w:type="dxa"/>
          </w:tcPr>
          <w:p w14:paraId="0E13F220" w14:textId="4EC155D3" w:rsidR="004443C0" w:rsidRDefault="001302CB" w:rsidP="004443C0">
            <w:r w:rsidRPr="001302CB">
              <w:rPr>
                <w:rFonts w:cs="Segoe UI"/>
                <w:highlight w:val="yellow"/>
              </w:rPr>
              <w:t>XXX</w:t>
            </w:r>
          </w:p>
        </w:tc>
      </w:tr>
      <w:tr w:rsidR="004443C0" w14:paraId="3490B723" w14:textId="77777777" w:rsidTr="009861C0">
        <w:tc>
          <w:tcPr>
            <w:tcW w:w="7968" w:type="dxa"/>
          </w:tcPr>
          <w:p w14:paraId="71B12977" w14:textId="6A064D33" w:rsidR="004443C0" w:rsidRDefault="001302CB" w:rsidP="009861C0">
            <w:r w:rsidRPr="001302CB">
              <w:rPr>
                <w:rFonts w:cs="Segoe UI"/>
                <w:highlight w:val="yellow"/>
              </w:rPr>
              <w:t>XXX</w:t>
            </w:r>
          </w:p>
        </w:tc>
      </w:tr>
      <w:tr w:rsidR="001302CB" w14:paraId="3D3B180D" w14:textId="77777777" w:rsidTr="009861C0">
        <w:tc>
          <w:tcPr>
            <w:tcW w:w="7968" w:type="dxa"/>
          </w:tcPr>
          <w:p w14:paraId="6C2E09CE" w14:textId="1F167A13" w:rsidR="001302CB" w:rsidRPr="001302CB" w:rsidRDefault="001302CB" w:rsidP="009861C0">
            <w:pPr>
              <w:rPr>
                <w:rFonts w:cs="Segoe UI"/>
                <w:highlight w:val="yellow"/>
              </w:rPr>
            </w:pPr>
            <w:r w:rsidRPr="001302CB">
              <w:rPr>
                <w:rFonts w:cs="Segoe UI"/>
                <w:highlight w:val="yellow"/>
              </w:rPr>
              <w:t>XXX</w:t>
            </w:r>
          </w:p>
        </w:tc>
      </w:tr>
      <w:tr w:rsidR="009C33F1" w14:paraId="166C2CBD" w14:textId="77777777" w:rsidTr="009861C0">
        <w:tc>
          <w:tcPr>
            <w:tcW w:w="7968" w:type="dxa"/>
          </w:tcPr>
          <w:p w14:paraId="1440D65B" w14:textId="0ECC9DA8" w:rsidR="009C33F1" w:rsidRPr="000371AB" w:rsidRDefault="001302CB" w:rsidP="009861C0">
            <w:pPr>
              <w:rPr>
                <w:rFonts w:ascii="Arial" w:hAnsi="Arial" w:cs="Arial"/>
                <w:szCs w:val="18"/>
                <w:highlight w:val="lightGray"/>
              </w:rPr>
            </w:pPr>
            <w:r w:rsidRPr="001302CB">
              <w:rPr>
                <w:rFonts w:cs="Segoe UI"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lastRenderedPageBreak/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>zajistit od poddodavatele doklady prokazující kvalifikaci poddodavatele k provedení kontroly podle ust.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t>E</w:t>
      </w:r>
      <w:r w:rsidR="0043346A" w:rsidRPr="006D3B11">
        <w:t>vropské unie za podmínek uvedených v</w:t>
      </w:r>
      <w:r w:rsidR="0043346A">
        <w:t> </w:t>
      </w:r>
      <w:r w:rsidR="0043346A" w:rsidRPr="006D3B11">
        <w:t>ust</w:t>
      </w:r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</w:t>
      </w:r>
      <w:r w:rsidR="000D66EF" w:rsidRPr="00585137">
        <w:rPr>
          <w:rFonts w:cs="Segoe UI"/>
        </w:rPr>
        <w:lastRenderedPageBreak/>
        <w:t xml:space="preserve">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lastRenderedPageBreak/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ust.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 xml:space="preserve"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</w:t>
      </w:r>
      <w:r w:rsidRPr="0048039D">
        <w:rPr>
          <w:rFonts w:cs="Segoe UI"/>
        </w:rPr>
        <w:lastRenderedPageBreak/>
        <w:t>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>ve smyslu ust.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(docx dokument)</w:t>
      </w:r>
      <w:r w:rsidR="006D3252">
        <w:rPr>
          <w:rFonts w:cs="Segoe UI"/>
          <w:szCs w:val="20"/>
        </w:rPr>
        <w:t>;</w:t>
      </w:r>
    </w:p>
    <w:p w14:paraId="078C7613" w14:textId="388CBD8E" w:rsidR="006D3252" w:rsidRPr="00B32141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 w:rsidR="00B32141">
        <w:t>;</w:t>
      </w:r>
    </w:p>
    <w:p w14:paraId="0250EE01" w14:textId="30855835" w:rsidR="00B32141" w:rsidRPr="00B32141" w:rsidRDefault="00B32141" w:rsidP="00C35644">
      <w:pPr>
        <w:pStyle w:val="Odstavecseseznamem"/>
        <w:numPr>
          <w:ilvl w:val="0"/>
          <w:numId w:val="10"/>
        </w:numPr>
        <w:tabs>
          <w:tab w:val="left" w:pos="708"/>
        </w:tabs>
        <w:spacing w:before="0"/>
        <w:ind w:left="851" w:hanging="284"/>
        <w:rPr>
          <w:rFonts w:cs="Segoe UI"/>
          <w:szCs w:val="20"/>
        </w:rPr>
      </w:pPr>
      <w:r w:rsidRPr="00B32141">
        <w:rPr>
          <w:rFonts w:cs="Segoe UI"/>
          <w:szCs w:val="20"/>
        </w:rPr>
        <w:t xml:space="preserve">příloha č. 5 – </w:t>
      </w:r>
      <w:r w:rsidRPr="00B704E8">
        <w:rPr>
          <w:rFonts w:cs="Segoe UI"/>
          <w:i/>
          <w:iCs/>
          <w:szCs w:val="20"/>
        </w:rPr>
        <w:t>Seznam poddodavatelů</w:t>
      </w:r>
      <w:r w:rsidRPr="00B32141">
        <w:rPr>
          <w:rFonts w:cs="Segoe UI"/>
          <w:szCs w:val="20"/>
        </w:rP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lastRenderedPageBreak/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C35644" w:rsidRDefault="00181FA4" w:rsidP="00181FA4">
      <w:pPr>
        <w:pStyle w:val="Odstavecseseznamem"/>
        <w:rPr>
          <w:szCs w:val="22"/>
        </w:rPr>
      </w:pPr>
      <w:r w:rsidRPr="00085B72"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37F27B34" w14:textId="77777777" w:rsidR="00C35644" w:rsidRDefault="00C35644" w:rsidP="00C35644">
      <w:pPr>
        <w:pStyle w:val="Odstavecseseznamem"/>
        <w:numPr>
          <w:ilvl w:val="0"/>
          <w:numId w:val="0"/>
        </w:numPr>
        <w:ind w:left="567"/>
      </w:pPr>
    </w:p>
    <w:p w14:paraId="414FEB4E" w14:textId="77777777" w:rsidR="00C35644" w:rsidRDefault="00C35644" w:rsidP="00C35644">
      <w:pPr>
        <w:pStyle w:val="Odstavecseseznamem"/>
        <w:numPr>
          <w:ilvl w:val="0"/>
          <w:numId w:val="0"/>
        </w:numPr>
        <w:ind w:left="567"/>
      </w:pPr>
    </w:p>
    <w:p w14:paraId="4FFDA907" w14:textId="77777777" w:rsidR="00C35644" w:rsidRPr="0023722D" w:rsidRDefault="00C35644" w:rsidP="00C35644">
      <w:pPr>
        <w:pStyle w:val="Odstavecseseznamem"/>
        <w:numPr>
          <w:ilvl w:val="0"/>
          <w:numId w:val="0"/>
        </w:numPr>
        <w:ind w:left="567"/>
        <w:rPr>
          <w:szCs w:val="22"/>
        </w:rPr>
      </w:pPr>
    </w:p>
    <w:p w14:paraId="5B0335B8" w14:textId="5EF8B265" w:rsidR="00B32141" w:rsidRPr="007C5BBC" w:rsidRDefault="00B32141" w:rsidP="001302CB">
      <w:pPr>
        <w:spacing w:after="600"/>
      </w:pPr>
      <w:r w:rsidRPr="007C5BBC">
        <w:t>V</w:t>
      </w:r>
      <w:r>
        <w:t> Praze</w:t>
      </w:r>
      <w:r w:rsidRPr="007C5BBC">
        <w:rPr>
          <w:caps/>
        </w:rPr>
        <w:t xml:space="preserve"> </w:t>
      </w:r>
      <w:r w:rsidRPr="007C5BBC">
        <w:t xml:space="preserve">dne </w:t>
      </w:r>
      <w:r w:rsidR="001302CB">
        <w:t>20. 1. 2025</w:t>
      </w:r>
      <w:r w:rsidR="001302CB">
        <w:tab/>
      </w:r>
      <w:r w:rsidR="001302CB">
        <w:tab/>
      </w:r>
      <w:r w:rsidR="001302CB">
        <w:tab/>
      </w:r>
      <w:r w:rsidRPr="007C5BBC">
        <w:tab/>
      </w:r>
      <w:r>
        <w:t xml:space="preserve">        </w:t>
      </w:r>
      <w:r w:rsidRPr="00512E22">
        <w:t>V </w:t>
      </w:r>
      <w:r>
        <w:t xml:space="preserve">Praze </w:t>
      </w:r>
      <w:r w:rsidRPr="00512E22">
        <w:t>dne</w:t>
      </w:r>
      <w:r w:rsidR="001302CB">
        <w:t xml:space="preserve"> 15. 1. 2025</w:t>
      </w:r>
      <w:r w:rsidRPr="007C5BBC">
        <w:tab/>
      </w:r>
    </w:p>
    <w:p w14:paraId="2530C271" w14:textId="77777777" w:rsidR="00B32141" w:rsidRDefault="00B32141" w:rsidP="00B32141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>
        <w:rPr>
          <w:rFonts w:cs="Segoe UI"/>
        </w:rPr>
        <w:t xml:space="preserve">             …….............................................................................................</w:t>
      </w:r>
    </w:p>
    <w:p w14:paraId="5AA0206C" w14:textId="77777777" w:rsidR="00B32141" w:rsidRPr="00DA61EB" w:rsidRDefault="00B32141" w:rsidP="00B32141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SFŽP ČR</w:t>
      </w:r>
      <w:r>
        <w:rPr>
          <w:rFonts w:cs="Segoe UI"/>
        </w:rPr>
        <w:t xml:space="preserve">                                                                    </w:t>
      </w:r>
      <w:r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Měřicí skupinu</w:t>
      </w:r>
    </w:p>
    <w:p w14:paraId="4C08B1FD" w14:textId="77777777" w:rsidR="00B32141" w:rsidRPr="007C5BBC" w:rsidRDefault="00B32141" w:rsidP="00B3214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561F69">
        <w:rPr>
          <w:b/>
          <w:iCs/>
        </w:rPr>
        <w:t>Ing. Petr Valdman</w:t>
      </w:r>
      <w:r>
        <w:t xml:space="preserve">                                                       </w:t>
      </w:r>
      <w:r w:rsidRPr="00561F69">
        <w:rPr>
          <w:rFonts w:cs="Segoe UI"/>
          <w:b/>
        </w:rPr>
        <w:t>Ing. Petr Mrkos</w:t>
      </w:r>
    </w:p>
    <w:p w14:paraId="04A12030" w14:textId="77777777" w:rsidR="00B32141" w:rsidRPr="00561F69" w:rsidRDefault="00B32141" w:rsidP="00B3214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left"/>
        <w:rPr>
          <w:rFonts w:cs="Segoe UI"/>
        </w:rPr>
      </w:pPr>
      <w:r w:rsidRPr="007C5BBC">
        <w:t>ředitel Státního fondu životního prostředí ČR</w:t>
      </w:r>
      <w:r>
        <w:t xml:space="preserve">              </w:t>
      </w:r>
      <w:r w:rsidRPr="00561F69">
        <w:rPr>
          <w:rFonts w:cs="Segoe UI"/>
        </w:rPr>
        <w:t>místopředseda</w:t>
      </w:r>
      <w:r>
        <w:rPr>
          <w:rFonts w:cs="Segoe UI"/>
        </w:rPr>
        <w:t xml:space="preserve"> představenstva a generální ředitel</w:t>
      </w: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67F51A1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C35644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Vysoké učení technické v Brně, Fakulta stavební, Ústav vodních staveb, Laboratoř vodohospodářského výzkumu, Ing. Michal Žoužela,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napevno instalovaný pod hladinu vody, který se používá k  měření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snímač napevno instalovaný nad hladinu vody, který se používá k  měření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a minimální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>; současně platí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8952666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r w:rsidRPr="003B45FA">
        <w:rPr>
          <w:rFonts w:cs="Segoe UI"/>
          <w:b/>
          <w:szCs w:val="20"/>
        </w:rPr>
        <w:t xml:space="preserve"> na proteklý objem vody </w:t>
      </w:r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na proteklý objem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, resp. proteklého objemu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, resp.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0C0B6132" w14:textId="77777777" w:rsidR="00C35644" w:rsidRDefault="00C35644" w:rsidP="00A47820"/>
    <w:p w14:paraId="7047EDEE" w14:textId="77777777" w:rsidR="00C35644" w:rsidRDefault="00C35644" w:rsidP="00A47820"/>
    <w:p w14:paraId="5A3EA5B4" w14:textId="77777777" w:rsidR="00C35644" w:rsidRDefault="00C35644" w:rsidP="00A47820"/>
    <w:p w14:paraId="7B191684" w14:textId="77777777" w:rsidR="00C35644" w:rsidRDefault="00C35644" w:rsidP="00A47820"/>
    <w:p w14:paraId="5E3AC732" w14:textId="77777777" w:rsidR="00C35644" w:rsidRDefault="00C35644" w:rsidP="00A47820"/>
    <w:p w14:paraId="2CDDF875" w14:textId="77777777" w:rsidR="00C35644" w:rsidRDefault="00C35644" w:rsidP="00A47820"/>
    <w:p w14:paraId="71469A9A" w14:textId="77777777" w:rsidR="00C35644" w:rsidRDefault="00C35644" w:rsidP="00A47820"/>
    <w:p w14:paraId="6F7A1EF1" w14:textId="77777777" w:rsidR="00C35644" w:rsidRDefault="00C35644" w:rsidP="00A47820"/>
    <w:p w14:paraId="01342BC5" w14:textId="77777777" w:rsidR="00C35644" w:rsidRDefault="00C35644" w:rsidP="00A47820"/>
    <w:p w14:paraId="70747DD1" w14:textId="77777777" w:rsidR="00C35644" w:rsidRDefault="00C35644" w:rsidP="00A47820"/>
    <w:p w14:paraId="44B649E5" w14:textId="77777777" w:rsidR="00C35644" w:rsidRDefault="00C35644" w:rsidP="00A47820"/>
    <w:p w14:paraId="685D21A1" w14:textId="77777777" w:rsidR="00C35644" w:rsidRDefault="00C35644" w:rsidP="00A47820"/>
    <w:p w14:paraId="3FF4C438" w14:textId="77777777" w:rsidR="00C35644" w:rsidRDefault="00C35644" w:rsidP="00A47820"/>
    <w:p w14:paraId="736BB379" w14:textId="77777777" w:rsidR="00C35644" w:rsidRDefault="00C35644" w:rsidP="00A47820"/>
    <w:p w14:paraId="5DE37D99" w14:textId="77777777" w:rsidR="00C35644" w:rsidRDefault="00C35644" w:rsidP="00A47820"/>
    <w:p w14:paraId="0CD9ED64" w14:textId="77777777" w:rsidR="00C35644" w:rsidRDefault="00C35644" w:rsidP="00A47820"/>
    <w:p w14:paraId="5AB7512B" w14:textId="77777777" w:rsidR="00C35644" w:rsidRDefault="00C35644" w:rsidP="00A47820"/>
    <w:p w14:paraId="33DF9433" w14:textId="77777777" w:rsidR="00C35644" w:rsidRDefault="00C35644" w:rsidP="00A47820"/>
    <w:p w14:paraId="57B5F7A8" w14:textId="77777777" w:rsidR="00C35644" w:rsidRPr="00C35644" w:rsidRDefault="00C35644" w:rsidP="00C35644">
      <w:pPr>
        <w:pStyle w:val="Nzev"/>
        <w:spacing w:after="120"/>
        <w:jc w:val="both"/>
      </w:pPr>
      <w:r w:rsidRPr="00C35644">
        <w:lastRenderedPageBreak/>
        <w:t>PŘÍLOHA Č. 5 - SEZNAM PODDODAVATELŮ</w:t>
      </w:r>
    </w:p>
    <w:p w14:paraId="7AEACB28" w14:textId="77777777" w:rsidR="00C35644" w:rsidRPr="00C35644" w:rsidRDefault="00C35644" w:rsidP="00C35644"/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3919"/>
      </w:tblGrid>
      <w:tr w:rsidR="00C35644" w:rsidRPr="00C35644" w14:paraId="0BC43D56" w14:textId="77777777" w:rsidTr="00C35644"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80C9A6" w14:textId="77777777" w:rsidR="00C35644" w:rsidRPr="00C35644" w:rsidRDefault="00C35644" w:rsidP="00C35644">
            <w:pPr>
              <w:jc w:val="center"/>
              <w:rPr>
                <w:b/>
              </w:rPr>
            </w:pPr>
            <w:bookmarkStart w:id="77" w:name="_Hlk185879295"/>
            <w:r w:rsidRPr="00C35644">
              <w:rPr>
                <w:b/>
              </w:rPr>
              <w:t>Poddodavatel</w:t>
            </w:r>
          </w:p>
          <w:p w14:paraId="13C4B28F" w14:textId="77777777" w:rsidR="00C35644" w:rsidRPr="00C35644" w:rsidRDefault="00C35644" w:rsidP="00C35644">
            <w:pPr>
              <w:jc w:val="center"/>
            </w:pPr>
            <w:r w:rsidRPr="00C35644">
              <w:t>(Obchodní firma / název / jméno, příjmení, sídlo, IČO)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02D5D6" w14:textId="77777777" w:rsidR="00C35644" w:rsidRPr="00C35644" w:rsidRDefault="00C35644" w:rsidP="00C35644">
            <w:pPr>
              <w:jc w:val="center"/>
            </w:pPr>
            <w:r w:rsidRPr="00C35644">
              <w:rPr>
                <w:b/>
                <w:bCs/>
              </w:rPr>
              <w:t>Část plnění veřejné zakázky</w:t>
            </w:r>
            <w:r w:rsidRPr="00C35644">
              <w:t>,</w:t>
            </w:r>
          </w:p>
          <w:p w14:paraId="13D2744C" w14:textId="77777777" w:rsidR="00C35644" w:rsidRPr="00C35644" w:rsidRDefault="00C35644" w:rsidP="00C35644">
            <w:pPr>
              <w:rPr>
                <w:b/>
              </w:rPr>
            </w:pPr>
            <w:r w:rsidRPr="00C35644">
              <w:t>která bude plněna prostřednictvím poddodavatele</w:t>
            </w:r>
          </w:p>
        </w:tc>
      </w:tr>
      <w:tr w:rsidR="00C35644" w:rsidRPr="00C35644" w14:paraId="274C2E8A" w14:textId="77777777" w:rsidTr="00C35644">
        <w:trPr>
          <w:trHeight w:val="73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C8CA" w14:textId="78E9B9D2" w:rsidR="00C35644" w:rsidRPr="00C35644" w:rsidRDefault="00C35644" w:rsidP="00C35644">
            <w:r w:rsidRPr="00C35644">
              <w:t>HYDROMETRICS s.r.o.</w:t>
            </w:r>
          </w:p>
          <w:p w14:paraId="623097DE" w14:textId="77777777" w:rsidR="00C35644" w:rsidRPr="00C35644" w:rsidRDefault="00C35644" w:rsidP="00C35644">
            <w:r w:rsidRPr="00C35644">
              <w:t xml:space="preserve">IČO: 26491036 </w:t>
            </w:r>
          </w:p>
          <w:p w14:paraId="7D3EF91D" w14:textId="0E29E959" w:rsidR="00C35644" w:rsidRPr="00C35644" w:rsidRDefault="00C35644" w:rsidP="00C35644">
            <w:r w:rsidRPr="00C35644">
              <w:t xml:space="preserve">Nehvizdy, Na Vodoteči 186, okres Praha-východ </w:t>
            </w:r>
          </w:p>
          <w:p w14:paraId="73E7B9BB" w14:textId="77777777" w:rsidR="00C35644" w:rsidRPr="00C35644" w:rsidRDefault="00C35644" w:rsidP="00C35644">
            <w:r w:rsidRPr="00C35644">
              <w:t>PSČ: 250 81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1FDD" w14:textId="3E1B8764" w:rsidR="00C35644" w:rsidRPr="00C35644" w:rsidRDefault="00C35644" w:rsidP="00C35644">
            <w:r w:rsidRPr="00C35644">
              <w:t>Část</w:t>
            </w:r>
            <w:r>
              <w:t xml:space="preserve"> 4</w:t>
            </w:r>
            <w:r w:rsidRPr="00C35644">
              <w:t xml:space="preserve">: </w:t>
            </w:r>
            <w:r>
              <w:t>Plzeň</w:t>
            </w:r>
            <w:r w:rsidRPr="00C35644">
              <w:t>ský kraj</w:t>
            </w:r>
          </w:p>
        </w:tc>
      </w:tr>
      <w:bookmarkEnd w:id="77"/>
    </w:tbl>
    <w:p w14:paraId="30A22206" w14:textId="77777777" w:rsidR="00C35644" w:rsidRPr="00C35644" w:rsidRDefault="00C35644" w:rsidP="00C35644"/>
    <w:p w14:paraId="57001B5E" w14:textId="77777777" w:rsidR="00C35644" w:rsidRPr="00C35644" w:rsidRDefault="00C35644" w:rsidP="00C35644"/>
    <w:p w14:paraId="3A26C129" w14:textId="77777777" w:rsidR="00C35644" w:rsidRPr="00C35644" w:rsidRDefault="00C35644" w:rsidP="00C35644"/>
    <w:p w14:paraId="7D64C651" w14:textId="77777777" w:rsidR="00C35644" w:rsidRDefault="00C35644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52983"/>
    <w:multiLevelType w:val="hybridMultilevel"/>
    <w:tmpl w:val="F7CE43CE"/>
    <w:lvl w:ilvl="0" w:tplc="554E1354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0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546D6B"/>
    <w:multiLevelType w:val="hybridMultilevel"/>
    <w:tmpl w:val="71263D82"/>
    <w:lvl w:ilvl="0" w:tplc="80AA885A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2161">
    <w:abstractNumId w:val="2"/>
  </w:num>
  <w:num w:numId="2" w16cid:durableId="1567689223">
    <w:abstractNumId w:val="10"/>
  </w:num>
  <w:num w:numId="3" w16cid:durableId="969744123">
    <w:abstractNumId w:val="4"/>
  </w:num>
  <w:num w:numId="4" w16cid:durableId="1086614272">
    <w:abstractNumId w:val="9"/>
  </w:num>
  <w:num w:numId="5" w16cid:durableId="104615643">
    <w:abstractNumId w:val="5"/>
  </w:num>
  <w:num w:numId="6" w16cid:durableId="1512454537">
    <w:abstractNumId w:val="12"/>
  </w:num>
  <w:num w:numId="7" w16cid:durableId="69931497">
    <w:abstractNumId w:val="8"/>
  </w:num>
  <w:num w:numId="8" w16cid:durableId="1468400530">
    <w:abstractNumId w:val="0"/>
  </w:num>
  <w:num w:numId="9" w16cid:durableId="682392884">
    <w:abstractNumId w:val="13"/>
  </w:num>
  <w:num w:numId="10" w16cid:durableId="183521911">
    <w:abstractNumId w:val="1"/>
  </w:num>
  <w:num w:numId="11" w16cid:durableId="1681664548">
    <w:abstractNumId w:val="14"/>
  </w:num>
  <w:num w:numId="12" w16cid:durableId="2026712498">
    <w:abstractNumId w:val="15"/>
  </w:num>
  <w:num w:numId="13" w16cid:durableId="1640726060">
    <w:abstractNumId w:val="12"/>
  </w:num>
  <w:num w:numId="14" w16cid:durableId="1912233240">
    <w:abstractNumId w:val="3"/>
  </w:num>
  <w:num w:numId="15" w16cid:durableId="1310205241">
    <w:abstractNumId w:val="12"/>
    <w:lvlOverride w:ilvl="0">
      <w:startOverride w:val="1"/>
    </w:lvlOverride>
  </w:num>
  <w:num w:numId="16" w16cid:durableId="498272753">
    <w:abstractNumId w:val="11"/>
  </w:num>
  <w:num w:numId="17" w16cid:durableId="1639798208">
    <w:abstractNumId w:val="7"/>
  </w:num>
  <w:num w:numId="18" w16cid:durableId="442118911">
    <w:abstractNumId w:val="6"/>
  </w:num>
  <w:num w:numId="19" w16cid:durableId="1234658715">
    <w:abstractNumId w:val="16"/>
  </w:num>
  <w:num w:numId="20" w16cid:durableId="1806117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49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302CB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52B"/>
    <w:rsid w:val="002C0C9D"/>
    <w:rsid w:val="002C16EB"/>
    <w:rsid w:val="002C523A"/>
    <w:rsid w:val="002C7495"/>
    <w:rsid w:val="002D1B28"/>
    <w:rsid w:val="002D44BC"/>
    <w:rsid w:val="002D48CB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A0128"/>
    <w:rsid w:val="005A4910"/>
    <w:rsid w:val="005B222B"/>
    <w:rsid w:val="005B2890"/>
    <w:rsid w:val="005C0017"/>
    <w:rsid w:val="005C0CB0"/>
    <w:rsid w:val="005C1E05"/>
    <w:rsid w:val="005C384D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34D4"/>
    <w:rsid w:val="00644C8F"/>
    <w:rsid w:val="00646925"/>
    <w:rsid w:val="006510AC"/>
    <w:rsid w:val="0065287E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E4285"/>
    <w:rsid w:val="006F2244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42A9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509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567CC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AF6D9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2141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4E8"/>
    <w:rsid w:val="00B70A66"/>
    <w:rsid w:val="00B727F2"/>
    <w:rsid w:val="00B72CCB"/>
    <w:rsid w:val="00B73494"/>
    <w:rsid w:val="00B75917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35644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A1706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25D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3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7965</Words>
  <Characters>46997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3</cp:revision>
  <cp:lastPrinted>2018-03-06T14:48:00Z</cp:lastPrinted>
  <dcterms:created xsi:type="dcterms:W3CDTF">2025-01-21T07:15:00Z</dcterms:created>
  <dcterms:modified xsi:type="dcterms:W3CDTF">2025-01-21T07:18:00Z</dcterms:modified>
</cp:coreProperties>
</file>