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43" w14:textId="77777777" w:rsidR="005F0BC4" w:rsidRDefault="005F0BC4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73D1D7D2" w14:textId="18CF205A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36C1A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C9257D">
        <w:rPr>
          <w:rFonts w:asciiTheme="majorHAnsi" w:hAnsiTheme="majorHAnsi"/>
          <w:b/>
          <w:spacing w:val="60"/>
          <w:sz w:val="28"/>
          <w:szCs w:val="28"/>
          <w:u w:val="single"/>
        </w:rPr>
        <w:t>/2025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5451955D" w14:textId="74D10742" w:rsidR="00EC77C7" w:rsidRPr="00EC77C7" w:rsidRDefault="00EC77C7" w:rsidP="00EC77C7">
      <w:pPr>
        <w:jc w:val="center"/>
        <w:rPr>
          <w:spacing w:val="24"/>
        </w:rPr>
      </w:pPr>
      <w:r w:rsidRPr="00EC77C7">
        <w:rPr>
          <w:spacing w:val="24"/>
        </w:rPr>
        <w:t>„Podpora sportu ve městě Český Těšín pro rok 202</w:t>
      </w:r>
      <w:r w:rsidR="00D0209D">
        <w:rPr>
          <w:spacing w:val="24"/>
        </w:rPr>
        <w:t>5</w:t>
      </w:r>
      <w:r w:rsidRPr="00EC77C7">
        <w:rPr>
          <w:spacing w:val="24"/>
        </w:rPr>
        <w:t>“</w:t>
      </w:r>
    </w:p>
    <w:p w14:paraId="58DBF736" w14:textId="77777777" w:rsidR="00EC77C7" w:rsidRDefault="00EC77C7" w:rsidP="002C627F">
      <w:pPr>
        <w:spacing w:line="360" w:lineRule="auto"/>
        <w:jc w:val="center"/>
      </w:pPr>
    </w:p>
    <w:p w14:paraId="09A7B813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024D6222" w14:textId="77777777" w:rsidR="002C627F" w:rsidRDefault="002C627F" w:rsidP="002C627F">
      <w:pPr>
        <w:spacing w:line="360" w:lineRule="auto"/>
      </w:pPr>
    </w:p>
    <w:p w14:paraId="6DBA72CA" w14:textId="77777777" w:rsidR="005331CF" w:rsidRDefault="005331CF" w:rsidP="002C627F">
      <w:pPr>
        <w:spacing w:line="360" w:lineRule="auto"/>
      </w:pPr>
    </w:p>
    <w:p w14:paraId="24D2915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D1DAA6A" w14:textId="64A6F1FD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257D">
        <w:rPr>
          <w:b/>
        </w:rPr>
        <w:t>p. Karlem Kulou</w:t>
      </w:r>
      <w:r>
        <w:rPr>
          <w:b/>
        </w:rPr>
        <w:t xml:space="preserve">, </w:t>
      </w:r>
      <w:r>
        <w:t>starost</w:t>
      </w:r>
      <w:r w:rsidR="007768DA">
        <w:t>ou</w:t>
      </w:r>
      <w:r>
        <w:t xml:space="preserve"> města</w:t>
      </w:r>
    </w:p>
    <w:p w14:paraId="361F841E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21C440B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16B4F56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CCF5B1A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9E6CB83" w14:textId="77777777" w:rsidR="002C627F" w:rsidRDefault="002C627F" w:rsidP="002C627F">
      <w:pPr>
        <w:spacing w:after="0" w:line="240" w:lineRule="auto"/>
      </w:pPr>
    </w:p>
    <w:p w14:paraId="361A3CFA" w14:textId="77777777" w:rsidR="005331CF" w:rsidRDefault="005331CF" w:rsidP="002C627F">
      <w:pPr>
        <w:spacing w:after="0" w:line="240" w:lineRule="auto"/>
      </w:pPr>
    </w:p>
    <w:p w14:paraId="27A21B3D" w14:textId="77777777" w:rsidR="00C85B3B" w:rsidRDefault="00C85B3B" w:rsidP="002C627F">
      <w:pPr>
        <w:spacing w:after="0" w:line="240" w:lineRule="auto"/>
      </w:pPr>
    </w:p>
    <w:p w14:paraId="10FBB387" w14:textId="77777777" w:rsidR="005331CF" w:rsidRDefault="005331CF" w:rsidP="002C627F">
      <w:pPr>
        <w:spacing w:after="0" w:line="240" w:lineRule="auto"/>
      </w:pPr>
    </w:p>
    <w:p w14:paraId="2322F6A5" w14:textId="77777777" w:rsidR="00241307" w:rsidRDefault="00241307" w:rsidP="002C627F">
      <w:pPr>
        <w:spacing w:after="0" w:line="240" w:lineRule="auto"/>
      </w:pPr>
    </w:p>
    <w:p w14:paraId="0F5CDF0D" w14:textId="77777777" w:rsidR="002C627F" w:rsidRDefault="002C627F" w:rsidP="002C627F">
      <w:pPr>
        <w:spacing w:after="0" w:line="240" w:lineRule="auto"/>
      </w:pPr>
    </w:p>
    <w:p w14:paraId="6D1707F2" w14:textId="1EDBF30C" w:rsidR="00C9257D" w:rsidRPr="00EC10ED" w:rsidRDefault="00C9257D" w:rsidP="00C9257D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D36C1A">
        <w:rPr>
          <w:b/>
        </w:rPr>
        <w:t>HC Vlci</w:t>
      </w:r>
      <w:r>
        <w:rPr>
          <w:b/>
        </w:rPr>
        <w:t xml:space="preserve"> Český Těšín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2798B7E4" w14:textId="13011341" w:rsidR="00C9257D" w:rsidRPr="00C05869" w:rsidRDefault="00C9257D" w:rsidP="00C9257D">
      <w:pPr>
        <w:spacing w:after="0" w:line="240" w:lineRule="auto"/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>
        <w:rPr>
          <w:b/>
        </w:rPr>
        <w:t xml:space="preserve">p. </w:t>
      </w:r>
      <w:r w:rsidR="00D36C1A">
        <w:rPr>
          <w:b/>
        </w:rPr>
        <w:t xml:space="preserve">Tomášem </w:t>
      </w:r>
      <w:proofErr w:type="spellStart"/>
      <w:r w:rsidR="00D36C1A">
        <w:rPr>
          <w:b/>
        </w:rPr>
        <w:t>Wardasem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28D36BBD" w14:textId="7A192D8B" w:rsidR="00C9257D" w:rsidRPr="002C1477" w:rsidRDefault="00C9257D" w:rsidP="00C9257D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C1A">
        <w:t>Svojsíkova 833</w:t>
      </w:r>
      <w:r>
        <w:t>, 737 01 Český Těšín</w:t>
      </w:r>
    </w:p>
    <w:p w14:paraId="51D8F731" w14:textId="77777777" w:rsidR="00C9257D" w:rsidRPr="002C1477" w:rsidRDefault="00C9257D" w:rsidP="00C9257D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0B900239" w14:textId="185741F0" w:rsidR="00C9257D" w:rsidRPr="00C05869" w:rsidRDefault="00C9257D" w:rsidP="00C9257D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C1A">
        <w:t>061 332 74</w:t>
      </w:r>
    </w:p>
    <w:p w14:paraId="2EB1FC01" w14:textId="77777777" w:rsidR="00C9257D" w:rsidRDefault="00C9257D" w:rsidP="00C9257D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>
        <w:t>Fio</w:t>
      </w:r>
      <w:proofErr w:type="spellEnd"/>
      <w:r>
        <w:t xml:space="preserve"> banka, a.s.</w:t>
      </w:r>
    </w:p>
    <w:p w14:paraId="7D1D8E26" w14:textId="6750F6AA" w:rsidR="00C9257D" w:rsidRDefault="00C9257D" w:rsidP="00C9257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D36C1A">
        <w:t>2401252048</w:t>
      </w:r>
      <w:r>
        <w:t>/2010</w:t>
      </w:r>
    </w:p>
    <w:p w14:paraId="35FBD68C" w14:textId="77777777" w:rsidR="001E53FC" w:rsidRDefault="001E53FC" w:rsidP="00321CF8">
      <w:pPr>
        <w:spacing w:line="240" w:lineRule="auto"/>
      </w:pPr>
    </w:p>
    <w:p w14:paraId="196284EA" w14:textId="77777777" w:rsidR="001E53FC" w:rsidRDefault="001E53FC" w:rsidP="00CB29F5">
      <w:pPr>
        <w:spacing w:after="0" w:line="240" w:lineRule="auto"/>
      </w:pPr>
    </w:p>
    <w:p w14:paraId="7391C67E" w14:textId="77777777" w:rsidR="001E53FC" w:rsidRDefault="001E53FC" w:rsidP="00CB29F5">
      <w:pPr>
        <w:spacing w:after="0" w:line="240" w:lineRule="auto"/>
      </w:pPr>
    </w:p>
    <w:p w14:paraId="3A78C689" w14:textId="77777777" w:rsidR="001E53FC" w:rsidRDefault="001E53FC" w:rsidP="00CB29F5">
      <w:pPr>
        <w:spacing w:after="0" w:line="240" w:lineRule="auto"/>
      </w:pPr>
    </w:p>
    <w:p w14:paraId="46654BDD" w14:textId="77777777" w:rsidR="00CB29F5" w:rsidRDefault="00CB29F5" w:rsidP="00CB29F5">
      <w:pPr>
        <w:spacing w:after="0" w:line="240" w:lineRule="auto"/>
      </w:pPr>
    </w:p>
    <w:p w14:paraId="371C2BD0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4EC98BD3" w14:textId="77777777" w:rsidR="006F332F" w:rsidRDefault="006F332F" w:rsidP="006F332F">
      <w:pPr>
        <w:spacing w:after="0" w:line="240" w:lineRule="auto"/>
        <w:jc w:val="both"/>
      </w:pPr>
    </w:p>
    <w:p w14:paraId="2505FF83" w14:textId="1309A6C2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FC3690">
        <w:t xml:space="preserve">stva města Český Těšín ze dne </w:t>
      </w:r>
      <w:r w:rsidR="00744EEA">
        <w:t>9.12.</w:t>
      </w:r>
      <w:r w:rsidR="00C9257D">
        <w:t>2024</w:t>
      </w:r>
      <w:r w:rsidR="00FC3690">
        <w:t>, č.</w:t>
      </w:r>
      <w:r w:rsidR="00F300D7">
        <w:t xml:space="preserve"> </w:t>
      </w:r>
      <w:r w:rsidR="00744EEA">
        <w:t>361/14.</w:t>
      </w:r>
      <w:r w:rsidR="00C9257D">
        <w:t>ZM</w:t>
      </w:r>
      <w:r>
        <w:t>, poskytne dot</w:t>
      </w:r>
      <w:r w:rsidR="00FC3690">
        <w:t>aci z rozpočtu města na rok 202</w:t>
      </w:r>
      <w:r w:rsidR="00D0209D">
        <w:t>5</w:t>
      </w:r>
      <w:r w:rsidR="00086C1C">
        <w:t>:</w:t>
      </w:r>
      <w:r>
        <w:t xml:space="preserve"> </w:t>
      </w:r>
      <w:r w:rsidR="00D36C1A">
        <w:rPr>
          <w:b/>
        </w:rPr>
        <w:t xml:space="preserve">HC Vlci Český Těšín </w:t>
      </w:r>
      <w:proofErr w:type="spellStart"/>
      <w:r w:rsidR="00D36C1A">
        <w:rPr>
          <w:b/>
        </w:rPr>
        <w:t>z.s</w:t>
      </w:r>
      <w:proofErr w:type="spellEnd"/>
      <w:r w:rsidR="00D36C1A">
        <w:rPr>
          <w:b/>
        </w:rPr>
        <w:t>.</w:t>
      </w:r>
    </w:p>
    <w:p w14:paraId="7228009B" w14:textId="77777777" w:rsidR="00706CB0" w:rsidRDefault="00706CB0" w:rsidP="008B2520">
      <w:pPr>
        <w:spacing w:after="0" w:line="240" w:lineRule="auto"/>
        <w:jc w:val="both"/>
      </w:pPr>
    </w:p>
    <w:p w14:paraId="03AC271C" w14:textId="77777777" w:rsidR="00706CB0" w:rsidRDefault="00706CB0" w:rsidP="008B2520">
      <w:pPr>
        <w:spacing w:after="0" w:line="240" w:lineRule="auto"/>
        <w:jc w:val="both"/>
      </w:pPr>
    </w:p>
    <w:p w14:paraId="7E6506C1" w14:textId="19DD8C50" w:rsidR="001E53FC" w:rsidRDefault="001E53FC" w:rsidP="008B2520">
      <w:pPr>
        <w:spacing w:after="0" w:line="240" w:lineRule="auto"/>
        <w:jc w:val="both"/>
      </w:pPr>
    </w:p>
    <w:p w14:paraId="635C8A4A" w14:textId="70321FAF" w:rsidR="006574E7" w:rsidRDefault="006574E7" w:rsidP="008B2520">
      <w:pPr>
        <w:spacing w:after="0" w:line="240" w:lineRule="auto"/>
        <w:jc w:val="both"/>
      </w:pPr>
    </w:p>
    <w:p w14:paraId="4DF65E81" w14:textId="77777777" w:rsidR="006574E7" w:rsidRDefault="006574E7" w:rsidP="008B2520">
      <w:pPr>
        <w:spacing w:after="0" w:line="240" w:lineRule="auto"/>
        <w:jc w:val="both"/>
      </w:pPr>
    </w:p>
    <w:p w14:paraId="7E0493CA" w14:textId="77777777" w:rsidR="004B05B6" w:rsidRDefault="004B05B6" w:rsidP="008B2520">
      <w:pPr>
        <w:spacing w:after="0" w:line="240" w:lineRule="auto"/>
        <w:jc w:val="both"/>
      </w:pPr>
    </w:p>
    <w:p w14:paraId="10A6A3D2" w14:textId="77777777" w:rsidR="004B05B6" w:rsidRDefault="004B05B6" w:rsidP="008B2520">
      <w:pPr>
        <w:spacing w:after="0" w:line="240" w:lineRule="auto"/>
        <w:jc w:val="both"/>
      </w:pPr>
    </w:p>
    <w:p w14:paraId="63E77771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41DE272E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291F697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34ADC165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08E0FE90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A928DA4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235090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4BD2EB1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8B53024" w14:textId="77777777" w:rsidR="001E53FC" w:rsidRDefault="001E53FC" w:rsidP="000D0A72">
      <w:pPr>
        <w:spacing w:after="0" w:line="240" w:lineRule="auto"/>
        <w:ind w:left="720"/>
        <w:jc w:val="both"/>
      </w:pPr>
    </w:p>
    <w:p w14:paraId="4FA90B33" w14:textId="77777777" w:rsidR="00D14623" w:rsidRDefault="00D14623" w:rsidP="00C5131D">
      <w:pPr>
        <w:spacing w:after="0" w:line="240" w:lineRule="auto"/>
        <w:jc w:val="center"/>
        <w:rPr>
          <w:b/>
        </w:rPr>
      </w:pPr>
    </w:p>
    <w:p w14:paraId="231F80AA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A97CB22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C5894DD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6D53E75B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070B8CFD" w14:textId="77777777" w:rsidR="001466B6" w:rsidRDefault="001466B6" w:rsidP="00DC3558">
      <w:pPr>
        <w:spacing w:after="0" w:line="240" w:lineRule="auto"/>
        <w:ind w:left="426"/>
        <w:jc w:val="both"/>
      </w:pPr>
    </w:p>
    <w:p w14:paraId="612C8D17" w14:textId="77777777" w:rsidR="00D14623" w:rsidRDefault="00D14623" w:rsidP="00DC3558">
      <w:pPr>
        <w:spacing w:after="0" w:line="240" w:lineRule="auto"/>
        <w:ind w:left="426"/>
        <w:jc w:val="both"/>
      </w:pPr>
    </w:p>
    <w:p w14:paraId="052D9AA1" w14:textId="77777777" w:rsidR="007E0C12" w:rsidRDefault="007E0C12" w:rsidP="002F3C8F">
      <w:pPr>
        <w:spacing w:after="0" w:line="240" w:lineRule="auto"/>
        <w:jc w:val="both"/>
      </w:pPr>
    </w:p>
    <w:p w14:paraId="4191BBD9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0EE057DD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F977F91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205C60E" w14:textId="262B17EE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D36C1A">
        <w:rPr>
          <w:b/>
        </w:rPr>
        <w:t>2.636</w:t>
      </w:r>
      <w:r w:rsidR="00C9257D">
        <w:rPr>
          <w:b/>
        </w:rPr>
        <w:t>.000,- Kč</w:t>
      </w:r>
      <w:r w:rsidR="004C70B8">
        <w:t xml:space="preserve"> </w:t>
      </w:r>
      <w:r w:rsidR="00C95DF2">
        <w:t>(slovy</w:t>
      </w:r>
      <w:r w:rsidR="00C9257D">
        <w:t xml:space="preserve"> </w:t>
      </w:r>
      <w:proofErr w:type="spellStart"/>
      <w:r w:rsidR="00D36C1A">
        <w:t>dvamilionyšestsettřicetšesttisíc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328BBB89" w14:textId="77777777" w:rsidR="00C95DF2" w:rsidRDefault="00C95DF2" w:rsidP="000E4DC0">
      <w:pPr>
        <w:spacing w:after="0" w:line="240" w:lineRule="auto"/>
      </w:pPr>
    </w:p>
    <w:p w14:paraId="35A6564E" w14:textId="77777777" w:rsidR="00DC3558" w:rsidRDefault="00DC3558" w:rsidP="000E4DC0">
      <w:pPr>
        <w:spacing w:after="0" w:line="240" w:lineRule="auto"/>
      </w:pPr>
    </w:p>
    <w:p w14:paraId="55F8A3F1" w14:textId="3B8197FA" w:rsidR="00C9257D" w:rsidRPr="00EC10ED" w:rsidRDefault="00C95DF2" w:rsidP="00C9257D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C3690">
        <w:t xml:space="preserve"> vynaložených uznatelných 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9F49AB">
        <w:rPr>
          <w:b/>
        </w:rPr>
        <w:t xml:space="preserve">částečné financování </w:t>
      </w:r>
      <w:r w:rsidR="00321CF8" w:rsidRPr="009F49AB">
        <w:rPr>
          <w:b/>
        </w:rPr>
        <w:t xml:space="preserve">provozních </w:t>
      </w:r>
      <w:r w:rsidR="00FC3690" w:rsidRPr="009F49AB">
        <w:rPr>
          <w:b/>
        </w:rPr>
        <w:t>nákladů</w:t>
      </w:r>
      <w:r w:rsidR="00321CF8" w:rsidRPr="009F49AB">
        <w:rPr>
          <w:b/>
        </w:rPr>
        <w:t xml:space="preserve"> souvisejících </w:t>
      </w:r>
      <w:r w:rsidR="00C9257D" w:rsidRPr="00EC10ED">
        <w:rPr>
          <w:rFonts w:cstheme="minorHAnsi"/>
          <w:b/>
        </w:rPr>
        <w:t xml:space="preserve">s činností </w:t>
      </w:r>
      <w:r w:rsidR="00D36C1A">
        <w:rPr>
          <w:rFonts w:cstheme="minorHAnsi"/>
          <w:b/>
        </w:rPr>
        <w:t>hokejového</w:t>
      </w:r>
      <w:r w:rsidR="00C9257D">
        <w:rPr>
          <w:rFonts w:cstheme="minorHAnsi"/>
          <w:b/>
        </w:rPr>
        <w:t xml:space="preserve"> klubu</w:t>
      </w:r>
      <w:r w:rsidR="00C9257D" w:rsidRPr="00EC10ED">
        <w:rPr>
          <w:rFonts w:cstheme="minorHAnsi"/>
          <w:b/>
        </w:rPr>
        <w:t xml:space="preserve"> v roce 202</w:t>
      </w:r>
      <w:r w:rsidR="00C9257D">
        <w:rPr>
          <w:rFonts w:cstheme="minorHAnsi"/>
          <w:b/>
        </w:rPr>
        <w:t>5</w:t>
      </w:r>
      <w:r w:rsidR="00C9257D" w:rsidRPr="00EC10ED">
        <w:rPr>
          <w:rFonts w:cstheme="minorHAnsi"/>
          <w:b/>
        </w:rPr>
        <w:t>.</w:t>
      </w:r>
    </w:p>
    <w:p w14:paraId="4949CF85" w14:textId="334F47C2" w:rsidR="0098394C" w:rsidRPr="00C9257D" w:rsidRDefault="0098394C" w:rsidP="00C9257D">
      <w:p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2FAAEB59" w14:textId="77777777" w:rsidR="009F49AB" w:rsidRPr="009F49AB" w:rsidRDefault="009F49AB" w:rsidP="009F49A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3A46C640" w14:textId="7F946449" w:rsidR="003C3D82" w:rsidRPr="006574E7" w:rsidRDefault="0098394C" w:rsidP="006574E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</w:pPr>
      <w:r w:rsidRPr="0098394C">
        <w:t xml:space="preserve">Z celkové výše dotace, tj. </w:t>
      </w:r>
      <w:r w:rsidR="00D36C1A">
        <w:t>2.</w:t>
      </w:r>
      <w:r w:rsidR="00AE40DA">
        <w:t>636.</w:t>
      </w:r>
      <w:r w:rsidR="00C9257D">
        <w:t>000</w:t>
      </w:r>
      <w:r w:rsidRPr="0098394C">
        <w:t xml:space="preserve">,-- Kč bude </w:t>
      </w:r>
      <w:r w:rsidRPr="0098394C">
        <w:rPr>
          <w:b/>
        </w:rPr>
        <w:t xml:space="preserve">minimálně </w:t>
      </w:r>
      <w:r w:rsidR="00467EB8">
        <w:rPr>
          <w:b/>
        </w:rPr>
        <w:t>60</w:t>
      </w:r>
      <w:r w:rsidRPr="0098394C">
        <w:rPr>
          <w:b/>
        </w:rPr>
        <w:t xml:space="preserve"> % dotace, tj. </w:t>
      </w:r>
      <w:r w:rsidR="00AE40DA">
        <w:rPr>
          <w:b/>
        </w:rPr>
        <w:t>1.581.600</w:t>
      </w:r>
      <w:r w:rsidR="00C9257D">
        <w:rPr>
          <w:b/>
        </w:rPr>
        <w:t>,- Kč</w:t>
      </w:r>
      <w:r w:rsidRPr="0098394C">
        <w:t xml:space="preserve"> použito </w:t>
      </w:r>
      <w:r>
        <w:br/>
      </w:r>
      <w:r w:rsidRPr="0098394C">
        <w:t xml:space="preserve">na podporu výkonnostního sportu dětí a mládeže, tj. na nákup vybavení oddílů dětí a mládeže, </w:t>
      </w:r>
      <w:r>
        <w:br/>
      </w:r>
      <w:r w:rsidRPr="0098394C">
        <w:t xml:space="preserve">na odměny trenérů a vedoucích oddílů dětí a mládeže a na úhradu </w:t>
      </w:r>
      <w:r w:rsidR="00FC3690">
        <w:t xml:space="preserve">nákladů </w:t>
      </w:r>
      <w:r w:rsidRPr="0098394C">
        <w:t xml:space="preserve">spojených s dopravou </w:t>
      </w:r>
      <w:r w:rsidR="00687C5E">
        <w:br/>
      </w:r>
      <w:r w:rsidRPr="0098394C">
        <w:t>a občerstvením oddílů dětí a mládeže na soutěžním utkání</w:t>
      </w:r>
      <w:r>
        <w:t xml:space="preserve"> </w:t>
      </w:r>
      <w:r w:rsidRPr="0098394C">
        <w:t>a soustředění</w:t>
      </w:r>
      <w:r w:rsidR="00467EB8">
        <w:t xml:space="preserve"> </w:t>
      </w:r>
      <w:r w:rsidR="00467EB8" w:rsidRPr="00D14623">
        <w:t>apod</w:t>
      </w:r>
      <w:r w:rsidRPr="00D14623">
        <w:t>.</w:t>
      </w:r>
    </w:p>
    <w:p w14:paraId="7C165C08" w14:textId="7AD83429" w:rsidR="003C3D82" w:rsidRDefault="003C3D82" w:rsidP="00C5131D">
      <w:pPr>
        <w:spacing w:after="0" w:line="240" w:lineRule="auto"/>
        <w:jc w:val="center"/>
        <w:rPr>
          <w:b/>
        </w:rPr>
      </w:pPr>
    </w:p>
    <w:p w14:paraId="5355FB9C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526345DE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4A5E8740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2FF6F7F9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34DBE5C4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6F0956E5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39EC1811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66598E39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0BCE740F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65EDE0C2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79A2E408" w14:textId="77777777" w:rsidR="006574E7" w:rsidRDefault="006574E7" w:rsidP="00C5131D">
      <w:pPr>
        <w:spacing w:after="0" w:line="240" w:lineRule="auto"/>
        <w:jc w:val="center"/>
        <w:rPr>
          <w:b/>
        </w:rPr>
      </w:pPr>
    </w:p>
    <w:p w14:paraId="70CD5D24" w14:textId="71D453E1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117B3062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3DFBCE48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0258038" w14:textId="32A269D0" w:rsidR="001D5C4A" w:rsidRPr="00D14623" w:rsidRDefault="000364C9" w:rsidP="004160D0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D14623">
        <w:t xml:space="preserve">Poskytovatel poskytne dotaci příjemci </w:t>
      </w:r>
      <w:r w:rsidR="00467EB8" w:rsidRPr="00D14623">
        <w:t>v</w:t>
      </w:r>
      <w:r w:rsidR="004160D0">
        <w:t>e čtyřech s</w:t>
      </w:r>
      <w:r w:rsidR="00467EB8" w:rsidRPr="00D14623">
        <w:t>plátkách</w:t>
      </w:r>
      <w:r w:rsidR="00A033BB" w:rsidRPr="00D14623">
        <w:t xml:space="preserve"> převodem ve prospěch účtu příjemce </w:t>
      </w:r>
      <w:r w:rsidRPr="00D14623">
        <w:t xml:space="preserve">č. </w:t>
      </w:r>
      <w:r w:rsidR="004160D0">
        <w:t xml:space="preserve">2401252048/2010 </w:t>
      </w:r>
      <w:r w:rsidR="00A033BB" w:rsidRPr="00D14623">
        <w:t xml:space="preserve">po nabytí účinnosti této smlouvy </w:t>
      </w:r>
      <w:r w:rsidR="004160D0">
        <w:t xml:space="preserve">takto: 659.000,- Kč do 31.1.2025, 659.000,- Kč do 31.3.2025, 659.000,- Kč do 31.5.2025, 659.000,- Kč do 31.7.2025. </w:t>
      </w:r>
    </w:p>
    <w:p w14:paraId="39B49293" w14:textId="77777777" w:rsidR="00D87F5E" w:rsidRDefault="00FC3690" w:rsidP="001D5C4A">
      <w:pPr>
        <w:pStyle w:val="Odstavecseseznamem"/>
        <w:spacing w:after="0" w:line="240" w:lineRule="auto"/>
        <w:jc w:val="both"/>
      </w:pPr>
      <w:r>
        <w:t xml:space="preserve"> </w:t>
      </w:r>
    </w:p>
    <w:p w14:paraId="5F67EE03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122E4CC" w14:textId="77777777" w:rsidR="005055E7" w:rsidRDefault="005055E7" w:rsidP="005055E7">
      <w:pPr>
        <w:pStyle w:val="Odstavecseseznamem"/>
      </w:pPr>
    </w:p>
    <w:p w14:paraId="22B03BA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5DEE4652" w14:textId="4E1965FD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FC3690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0209D">
        <w:rPr>
          <w:b/>
        </w:rPr>
        <w:t>025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190C95E7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7A4BF67" w14:textId="2AD2919C" w:rsidR="00343F6D" w:rsidRPr="00343F6D" w:rsidRDefault="00343F6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343F6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2DF77CB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2203550E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74E2B74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389EEE2C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4423E8B9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0A3D9C6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241307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8E64F3C" w14:textId="0EEA2B6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D0209D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5131D">
        <w:rPr>
          <w:b/>
        </w:rPr>
        <w:t>,</w:t>
      </w:r>
    </w:p>
    <w:p w14:paraId="567A5D27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>„Financován</w:t>
      </w:r>
      <w:r w:rsidR="00A033BB">
        <w:rPr>
          <w:b/>
        </w:rPr>
        <w:t>í</w:t>
      </w:r>
      <w:r w:rsidR="00B162A7">
        <w:rPr>
          <w:b/>
        </w:rPr>
        <w:t xml:space="preserve"> z rozpočtu města Český Těšín</w:t>
      </w:r>
      <w:r w:rsidR="00A033BB">
        <w:rPr>
          <w:b/>
        </w:rPr>
        <w:t xml:space="preserve"> na základě VPS č. ………</w:t>
      </w:r>
      <w:proofErr w:type="gramStart"/>
      <w:r w:rsidR="00A033BB">
        <w:rPr>
          <w:b/>
        </w:rPr>
        <w:t>…….</w:t>
      </w:r>
      <w:proofErr w:type="gramEnd"/>
      <w:r w:rsidR="00A033BB">
        <w:rPr>
          <w:b/>
        </w:rPr>
        <w:t>“s uvedením výše použité</w:t>
      </w:r>
      <w:r>
        <w:rPr>
          <w:b/>
        </w:rPr>
        <w:t xml:space="preserve"> dotace </w:t>
      </w:r>
      <w:r w:rsidRPr="00A033BB">
        <w:rPr>
          <w:b/>
        </w:rPr>
        <w:t>v Kč</w:t>
      </w:r>
      <w:r>
        <w:t>,</w:t>
      </w:r>
    </w:p>
    <w:p w14:paraId="2F548F6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5A0DAA3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FC3690">
        <w:t>nákladového</w:t>
      </w:r>
      <w:r>
        <w:t xml:space="preserve"> rozpočtu je možno se odchýlit jen následujícím způsobem:</w:t>
      </w:r>
    </w:p>
    <w:p w14:paraId="59481DB4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C3690">
        <w:t>nákladových</w:t>
      </w:r>
      <w:r w:rsidR="00490C2A">
        <w:t>/výdajových</w:t>
      </w:r>
      <w:r>
        <w:t xml:space="preserve"> položek</w:t>
      </w:r>
      <w:r w:rsidR="00FC3690">
        <w:t xml:space="preserve"> (uvedených v </w:t>
      </w:r>
      <w:r w:rsidR="004D29D2">
        <w:t>rozpočtu)</w:t>
      </w:r>
      <w:r>
        <w:t xml:space="preserve"> v rámci jednoho druhu uznatelného </w:t>
      </w:r>
      <w:r w:rsidR="00FC3690">
        <w:t>nákladu</w:t>
      </w:r>
      <w:r w:rsidR="00490C2A">
        <w:t>/výdaje</w:t>
      </w:r>
      <w:r>
        <w:t xml:space="preserve"> za předpokladu, že bude dodržena stanovená výše příslušného druhu uznatelného </w:t>
      </w:r>
      <w:r w:rsidR="00FC3690">
        <w:t>nákladu</w:t>
      </w:r>
      <w:r w:rsidR="00490C2A">
        <w:t>/výdaje</w:t>
      </w:r>
      <w:r>
        <w:t xml:space="preserve"> a změny nebudou mít vliv</w:t>
      </w:r>
      <w:r w:rsidR="00490C2A">
        <w:t xml:space="preserve"> </w:t>
      </w:r>
      <w:r>
        <w:t>na stanovené účelové určení,</w:t>
      </w:r>
    </w:p>
    <w:p w14:paraId="3EA869CB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DEF5DB2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42EA6469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351AD574" w14:textId="32B5318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362CAA">
        <w:rPr>
          <w:b/>
        </w:rPr>
        <w:t>3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617B9DA7" w14:textId="269058A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AE79B1">
        <w:rPr>
          <w:b/>
        </w:rPr>
        <w:t>15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AE79B1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D0209D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E5BF9B1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0986D5F8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14CB3655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52F006F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D46F788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1D5C4A">
        <w:t>,</w:t>
      </w:r>
    </w:p>
    <w:p w14:paraId="06930E27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2974E" w14:textId="77777777" w:rsidR="00D87F5E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5CC35A75" w14:textId="77777777" w:rsidR="00FA50DE" w:rsidRPr="002C3216" w:rsidRDefault="00FA50DE" w:rsidP="000D0A72">
      <w:pPr>
        <w:pStyle w:val="Odstavecseseznamem"/>
      </w:pPr>
    </w:p>
    <w:p w14:paraId="4D723383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proofErr w:type="gramStart"/>
      <w:r w:rsidR="00F25494" w:rsidRPr="002C3216">
        <w:t>10a</w:t>
      </w:r>
      <w:proofErr w:type="gramEnd"/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12F0FD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57F907B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9D6B5AC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7D044C0A" w14:textId="77777777"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28E6238E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1FEEC53F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2611C061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120E0F73" w14:textId="77777777" w:rsidR="00222A40" w:rsidRPr="001D5C4A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26AF7C3A" w14:textId="77777777" w:rsidR="00D14623" w:rsidRDefault="00D1462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AD3859B" w14:textId="77777777" w:rsidR="006574E7" w:rsidRDefault="006574E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8EE1796" w14:textId="77777777" w:rsidR="006574E7" w:rsidRDefault="006574E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53D75DE" w14:textId="4FB975EE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1DF935A" w14:textId="77777777" w:rsidR="005E46B7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C3690">
        <w:rPr>
          <w:b/>
        </w:rPr>
        <w:t>NÁKLAD</w:t>
      </w:r>
      <w:r w:rsidR="00490C2A">
        <w:rPr>
          <w:b/>
        </w:rPr>
        <w:t>/VÝDAJ</w:t>
      </w:r>
    </w:p>
    <w:p w14:paraId="4924A508" w14:textId="77777777" w:rsidR="001466B6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DDC0CBC" w14:textId="77777777"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C3690">
        <w:t>náklad</w:t>
      </w:r>
      <w:r w:rsidR="00490C2A">
        <w:t>/výdaj</w:t>
      </w:r>
      <w:r>
        <w:t xml:space="preserve">“ je </w:t>
      </w:r>
      <w:r w:rsidR="00FC3690">
        <w:t>náklad</w:t>
      </w:r>
      <w:r w:rsidR="00490C2A">
        <w:t>/výdaj</w:t>
      </w:r>
      <w:r>
        <w:t>, který splňuje všechny níže uvedené podmínky:</w:t>
      </w:r>
    </w:p>
    <w:p w14:paraId="1DE14032" w14:textId="595CF09B"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45E80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C3690">
        <w:rPr>
          <w:b/>
        </w:rPr>
        <w:t>02</w:t>
      </w:r>
      <w:r w:rsidR="00D0209D">
        <w:rPr>
          <w:b/>
        </w:rPr>
        <w:t>5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14:paraId="656884F8" w14:textId="6A393E6D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14623">
        <w:t>byl vynaložen v souladu s </w:t>
      </w:r>
      <w:r w:rsidR="005C2BA0" w:rsidRPr="00D14623">
        <w:t>Programem pro poskytování účelových dotací z rozpočtu města Český Těšín „Podpora sportu ve městě Český Těšín pro rok 202</w:t>
      </w:r>
      <w:r w:rsidR="00D0209D">
        <w:t>5</w:t>
      </w:r>
      <w:r w:rsidR="005C2BA0" w:rsidRPr="00D14623">
        <w:t xml:space="preserve">“, s </w:t>
      </w:r>
      <w:r w:rsidRPr="00D14623">
        <w:t xml:space="preserve">účelovým určením </w:t>
      </w:r>
      <w:r>
        <w:t>dle čl. III</w:t>
      </w:r>
      <w:r w:rsidR="00F25494">
        <w:t>.</w:t>
      </w:r>
      <w:r>
        <w:t xml:space="preserve"> této smlouvy a ostatními podmínkami této smlouvy,</w:t>
      </w:r>
    </w:p>
    <w:p w14:paraId="75C210E2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 xml:space="preserve">finanční kontrole a je uveden </w:t>
      </w:r>
      <w:r w:rsidR="00241307">
        <w:t xml:space="preserve">v </w:t>
      </w:r>
      <w:r>
        <w:t>rozpočtu, který je přílohou č. 1 této smlouvy,</w:t>
      </w:r>
    </w:p>
    <w:p w14:paraId="3CBC5752" w14:textId="77777777" w:rsidR="006574E7" w:rsidRDefault="006574E7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4EDFEAA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394F7196" w14:textId="77777777" w:rsidR="001466B6" w:rsidRDefault="00035858" w:rsidP="001466B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9D668C4" w14:textId="77777777" w:rsidR="00343F6D" w:rsidRDefault="00343F6D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6ADBAB0" w14:textId="77777777" w:rsid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8ACC9E7" w14:textId="4872FA94" w:rsidR="003C3D82" w:rsidRDefault="00035858" w:rsidP="00343F6D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343F6D">
        <w:rPr>
          <w:rFonts w:asciiTheme="minorHAnsi" w:hAnsiTheme="minorHAnsi"/>
          <w:color w:val="auto"/>
          <w:sz w:val="22"/>
          <w:szCs w:val="22"/>
        </w:rPr>
        <w:t xml:space="preserve">Příjemce se zavazuje k tomu, že v průběhu realizace činnosti, bude prokazatelným </w:t>
      </w:r>
      <w:r w:rsidR="00343F6D">
        <w:rPr>
          <w:rFonts w:asciiTheme="minorHAnsi" w:hAnsiTheme="minorHAnsi"/>
          <w:color w:val="auto"/>
          <w:sz w:val="22"/>
          <w:szCs w:val="22"/>
        </w:rPr>
        <w:br/>
      </w:r>
      <w:r w:rsidRPr="00343F6D">
        <w:rPr>
          <w:rFonts w:asciiTheme="minorHAnsi" w:hAnsiTheme="minorHAnsi"/>
          <w:color w:val="auto"/>
          <w:sz w:val="22"/>
          <w:szCs w:val="22"/>
        </w:rPr>
        <w:t>a vhodným způsobem prezentovat město Český Těšín.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Zajistí zveřejnění informace o tom,</w:t>
      </w:r>
      <w:r w:rsidR="000E4DC0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že</w:t>
      </w:r>
      <w:r w:rsidR="00343F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>uveden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á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činnost byl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finančně podpořen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t>a</w:t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 z rozpočtu města Český Těšín.</w:t>
      </w:r>
      <w:r w:rsidR="002C3216" w:rsidRPr="00343F6D">
        <w:rPr>
          <w:rFonts w:asciiTheme="minorHAnsi" w:hAnsiTheme="minorHAnsi"/>
          <w:color w:val="auto"/>
          <w:sz w:val="22"/>
          <w:szCs w:val="22"/>
        </w:rPr>
        <w:br/>
      </w:r>
      <w:r w:rsidR="000B4E5C" w:rsidRPr="00343F6D">
        <w:rPr>
          <w:rFonts w:asciiTheme="minorHAnsi" w:hAnsiTheme="minorHAnsi"/>
          <w:color w:val="auto"/>
          <w:sz w:val="22"/>
          <w:szCs w:val="22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77664275" w14:textId="77777777" w:rsidR="00343F6D" w:rsidRPr="00343F6D" w:rsidRDefault="00343F6D" w:rsidP="00343F6D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53C0490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1A87F39D" w14:textId="77777777" w:rsidR="00D87F5E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6C9985B4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8AB4905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3E1D1DC2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E0B6640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165EB018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rozpočet, který tvoří přílohu č. 1 této smlouvy.</w:t>
      </w:r>
    </w:p>
    <w:p w14:paraId="49965286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26E8B54C" w14:textId="77777777" w:rsidR="00DC066C" w:rsidRPr="00DC066C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87FFD8D" w14:textId="010B8D18" w:rsidR="00435B06" w:rsidRPr="006574E7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</w:t>
      </w:r>
      <w:r w:rsidR="00B31C31">
        <w:rPr>
          <w:rFonts w:asciiTheme="minorHAnsi" w:hAnsiTheme="minorHAnsi"/>
          <w:sz w:val="22"/>
          <w:szCs w:val="22"/>
        </w:rPr>
        <w:t xml:space="preserve">a účinnosti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DC066C">
        <w:rPr>
          <w:rFonts w:asciiTheme="minorHAnsi" w:hAnsiTheme="minorHAnsi"/>
          <w:sz w:val="22"/>
          <w:szCs w:val="22"/>
        </w:rPr>
        <w:t>odpisu oběma smluvními stranami</w:t>
      </w:r>
      <w:r w:rsidR="00B31C31">
        <w:rPr>
          <w:rFonts w:asciiTheme="minorHAnsi" w:hAnsiTheme="minorHAnsi"/>
          <w:sz w:val="22"/>
          <w:szCs w:val="22"/>
        </w:rPr>
        <w:t>. V případě, že se na tuto smlouvu vztahuje povinnost uveřejnění v registru smluv, nabývá účinnosti dne</w:t>
      </w:r>
      <w:r w:rsidR="00FC4791">
        <w:rPr>
          <w:rFonts w:asciiTheme="minorHAnsi" w:hAnsiTheme="minorHAnsi"/>
          <w:sz w:val="22"/>
          <w:szCs w:val="22"/>
        </w:rPr>
        <w:t>m</w:t>
      </w:r>
      <w:r w:rsidR="00B31C31">
        <w:rPr>
          <w:rFonts w:asciiTheme="minorHAnsi" w:hAnsiTheme="minorHAnsi"/>
          <w:sz w:val="22"/>
          <w:szCs w:val="22"/>
        </w:rPr>
        <w:t xml:space="preserve"> zv</w:t>
      </w:r>
      <w:r w:rsidR="00FC4791">
        <w:rPr>
          <w:rFonts w:asciiTheme="minorHAnsi" w:hAnsiTheme="minorHAnsi"/>
          <w:sz w:val="22"/>
          <w:szCs w:val="22"/>
        </w:rPr>
        <w:t>e</w:t>
      </w:r>
      <w:r w:rsidR="00B31C31">
        <w:rPr>
          <w:rFonts w:asciiTheme="minorHAnsi" w:hAnsiTheme="minorHAnsi"/>
          <w:sz w:val="22"/>
          <w:szCs w:val="22"/>
        </w:rPr>
        <w:t>řejnění v tomto registru</w:t>
      </w:r>
      <w:r>
        <w:rPr>
          <w:rFonts w:asciiTheme="minorHAnsi" w:hAnsiTheme="minorHAnsi"/>
          <w:sz w:val="22"/>
          <w:szCs w:val="22"/>
        </w:rPr>
        <w:t xml:space="preserve">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33307CA7" w14:textId="77777777" w:rsidR="006574E7" w:rsidRPr="001E66E6" w:rsidRDefault="006574E7" w:rsidP="006574E7">
      <w:pPr>
        <w:pStyle w:val="Zkladntextodsazen"/>
        <w:tabs>
          <w:tab w:val="left" w:pos="709"/>
        </w:tabs>
        <w:spacing w:after="120"/>
        <w:ind w:left="714"/>
        <w:rPr>
          <w:rFonts w:asciiTheme="minorHAnsi" w:hAnsiTheme="minorHAnsi"/>
          <w:b/>
          <w:sz w:val="22"/>
          <w:szCs w:val="22"/>
        </w:rPr>
      </w:pPr>
    </w:p>
    <w:p w14:paraId="712ED500" w14:textId="77777777" w:rsidR="00FB5F40" w:rsidRPr="00F36512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2CAE457B" w14:textId="10B336B4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241307">
        <w:rPr>
          <w:rFonts w:ascii="Calibri" w:hAnsi="Calibri"/>
          <w:sz w:val="22"/>
          <w:szCs w:val="22"/>
        </w:rPr>
        <w:t xml:space="preserve">. </w:t>
      </w:r>
      <w:r w:rsidR="00744EEA">
        <w:rPr>
          <w:rFonts w:ascii="Calibri" w:hAnsi="Calibri"/>
          <w:sz w:val="22"/>
          <w:szCs w:val="22"/>
        </w:rPr>
        <w:t xml:space="preserve">361/14.ZM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744EEA">
        <w:rPr>
          <w:rFonts w:ascii="Calibri" w:hAnsi="Calibri"/>
          <w:sz w:val="22"/>
          <w:szCs w:val="22"/>
        </w:rPr>
        <w:t>9.12.2024.</w:t>
      </w:r>
      <w:bookmarkStart w:id="0" w:name="_GoBack"/>
      <w:bookmarkEnd w:id="0"/>
    </w:p>
    <w:p w14:paraId="34AC497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8C1707" w14:textId="77777777" w:rsidR="00752B4F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95C407C" w14:textId="77777777" w:rsidR="001466B6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3229FD3" w14:textId="77777777" w:rsidR="00222A40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25A4621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0C415016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0AA054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59951D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5E608F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4F2AD5F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CF1CD7C" w14:textId="403E6874" w:rsidR="00032731" w:rsidRDefault="00C9257D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3C3D82">
        <w:rPr>
          <w:rFonts w:asciiTheme="minorHAnsi" w:hAnsiTheme="minorHAnsi"/>
          <w:b/>
          <w:sz w:val="22"/>
          <w:szCs w:val="22"/>
        </w:rPr>
        <w:tab/>
      </w:r>
      <w:r w:rsidR="00AE40DA">
        <w:rPr>
          <w:rFonts w:asciiTheme="minorHAnsi" w:hAnsiTheme="minorHAnsi" w:cstheme="minorHAnsi"/>
          <w:b/>
          <w:sz w:val="22"/>
          <w:szCs w:val="22"/>
        </w:rPr>
        <w:t xml:space="preserve">Tomáš </w:t>
      </w:r>
      <w:proofErr w:type="spellStart"/>
      <w:r w:rsidR="00AE40DA">
        <w:rPr>
          <w:rFonts w:asciiTheme="minorHAnsi" w:hAnsiTheme="minorHAnsi" w:cstheme="minorHAnsi"/>
          <w:b/>
          <w:sz w:val="22"/>
          <w:szCs w:val="22"/>
        </w:rPr>
        <w:t>Wardas</w:t>
      </w:r>
      <w:proofErr w:type="spellEnd"/>
    </w:p>
    <w:p w14:paraId="2364DBD3" w14:textId="45E3A767" w:rsidR="009E2916" w:rsidRDefault="007768DA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</w:t>
      </w:r>
      <w:r w:rsidR="00FD0C18">
        <w:rPr>
          <w:rFonts w:asciiTheme="minorHAnsi" w:hAnsiTheme="minorHAnsi"/>
          <w:sz w:val="22"/>
          <w:szCs w:val="22"/>
        </w:rPr>
        <w:t>tarost</w:t>
      </w:r>
      <w:r>
        <w:rPr>
          <w:rFonts w:asciiTheme="minorHAnsi" w:hAnsiTheme="minorHAnsi"/>
          <w:sz w:val="22"/>
          <w:szCs w:val="22"/>
        </w:rPr>
        <w:t>a</w:t>
      </w:r>
      <w:r w:rsidR="00FD0C18">
        <w:rPr>
          <w:rFonts w:asciiTheme="minorHAnsi" w:hAnsiTheme="minorHAnsi"/>
          <w:sz w:val="22"/>
          <w:szCs w:val="22"/>
        </w:rPr>
        <w:t xml:space="preserve">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83BF5">
        <w:rPr>
          <w:rFonts w:asciiTheme="minorHAnsi" w:hAnsiTheme="minorHAnsi"/>
          <w:sz w:val="22"/>
          <w:szCs w:val="22"/>
        </w:rPr>
        <w:t xml:space="preserve">           </w:t>
      </w:r>
      <w:r w:rsidR="003C3D82">
        <w:rPr>
          <w:rFonts w:asciiTheme="minorHAnsi" w:hAnsiTheme="minorHAnsi"/>
          <w:sz w:val="22"/>
          <w:szCs w:val="22"/>
        </w:rPr>
        <w:tab/>
      </w:r>
      <w:r w:rsidR="003C3D82">
        <w:rPr>
          <w:rFonts w:asciiTheme="minorHAnsi" w:hAnsiTheme="minorHAnsi"/>
          <w:sz w:val="22"/>
          <w:szCs w:val="22"/>
        </w:rPr>
        <w:tab/>
      </w:r>
      <w:r w:rsidR="00C9257D">
        <w:rPr>
          <w:rFonts w:asciiTheme="minorHAnsi" w:hAnsiTheme="minorHAnsi"/>
          <w:sz w:val="22"/>
          <w:szCs w:val="22"/>
        </w:rPr>
        <w:t>předseda</w:t>
      </w:r>
    </w:p>
    <w:p w14:paraId="6F51F5F5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1F8448D" w14:textId="69340942" w:rsidR="00A54877" w:rsidRDefault="00A54877" w:rsidP="004160D0">
      <w:pPr>
        <w:spacing w:after="0" w:line="240" w:lineRule="auto"/>
      </w:pPr>
    </w:p>
    <w:p w14:paraId="0C54078A" w14:textId="0EB1F574" w:rsidR="00A117EB" w:rsidRDefault="00A117EB" w:rsidP="004160D0">
      <w:pPr>
        <w:spacing w:after="0" w:line="240" w:lineRule="auto"/>
      </w:pPr>
    </w:p>
    <w:p w14:paraId="5C221F15" w14:textId="240F4E75" w:rsidR="00A117EB" w:rsidRDefault="00A117EB" w:rsidP="004160D0">
      <w:pPr>
        <w:spacing w:after="0" w:line="240" w:lineRule="auto"/>
      </w:pPr>
    </w:p>
    <w:p w14:paraId="7A41B292" w14:textId="456C8399" w:rsidR="00A117EB" w:rsidRDefault="00A117EB" w:rsidP="004160D0">
      <w:pPr>
        <w:spacing w:after="0" w:line="240" w:lineRule="auto"/>
      </w:pPr>
    </w:p>
    <w:p w14:paraId="6F016875" w14:textId="24115594" w:rsidR="00A117EB" w:rsidRDefault="00A117EB" w:rsidP="004160D0">
      <w:pPr>
        <w:spacing w:after="0" w:line="240" w:lineRule="auto"/>
      </w:pPr>
    </w:p>
    <w:p w14:paraId="480CD905" w14:textId="2FEE6EE2" w:rsidR="00A117EB" w:rsidRDefault="00A117EB" w:rsidP="004160D0">
      <w:pPr>
        <w:spacing w:after="0" w:line="240" w:lineRule="auto"/>
      </w:pPr>
    </w:p>
    <w:p w14:paraId="69209450" w14:textId="21E6B474" w:rsidR="00A117EB" w:rsidRDefault="00A117EB" w:rsidP="004160D0">
      <w:pPr>
        <w:spacing w:after="0" w:line="240" w:lineRule="auto"/>
      </w:pPr>
    </w:p>
    <w:p w14:paraId="2AA5957E" w14:textId="2D64C3F6" w:rsidR="00A117EB" w:rsidRDefault="00A117EB" w:rsidP="004160D0">
      <w:pPr>
        <w:spacing w:after="0" w:line="240" w:lineRule="auto"/>
      </w:pPr>
    </w:p>
    <w:p w14:paraId="0DBE8F42" w14:textId="628A971D" w:rsidR="00A117EB" w:rsidRDefault="00A117EB" w:rsidP="004160D0">
      <w:pPr>
        <w:spacing w:after="0" w:line="240" w:lineRule="auto"/>
      </w:pPr>
    </w:p>
    <w:p w14:paraId="79D41FF4" w14:textId="59DACD79" w:rsidR="00A117EB" w:rsidRDefault="00A117EB" w:rsidP="004160D0">
      <w:pPr>
        <w:spacing w:after="0" w:line="240" w:lineRule="auto"/>
      </w:pPr>
    </w:p>
    <w:p w14:paraId="3A098249" w14:textId="19D7F081" w:rsidR="00A117EB" w:rsidRDefault="00A117EB" w:rsidP="004160D0">
      <w:pPr>
        <w:spacing w:after="0" w:line="240" w:lineRule="auto"/>
      </w:pPr>
    </w:p>
    <w:p w14:paraId="0C32515E" w14:textId="01684816" w:rsidR="00A117EB" w:rsidRDefault="00A117EB" w:rsidP="004160D0">
      <w:pPr>
        <w:spacing w:after="0" w:line="240" w:lineRule="auto"/>
      </w:pPr>
    </w:p>
    <w:p w14:paraId="18A22BAB" w14:textId="2071F107" w:rsidR="00A117EB" w:rsidRDefault="00A117EB" w:rsidP="004160D0">
      <w:pPr>
        <w:spacing w:after="0" w:line="240" w:lineRule="auto"/>
      </w:pPr>
    </w:p>
    <w:p w14:paraId="4E385778" w14:textId="62808872" w:rsidR="00A117EB" w:rsidRDefault="00A117EB" w:rsidP="004160D0">
      <w:pPr>
        <w:spacing w:after="0" w:line="240" w:lineRule="auto"/>
      </w:pPr>
    </w:p>
    <w:p w14:paraId="77FF6A82" w14:textId="1CA5E90D" w:rsidR="00A117EB" w:rsidRDefault="00A117EB" w:rsidP="004160D0">
      <w:pPr>
        <w:spacing w:after="0" w:line="240" w:lineRule="auto"/>
      </w:pPr>
    </w:p>
    <w:p w14:paraId="23EA59E3" w14:textId="70871BD9" w:rsidR="00A117EB" w:rsidRDefault="00A117EB" w:rsidP="004160D0">
      <w:pPr>
        <w:spacing w:after="0" w:line="240" w:lineRule="auto"/>
      </w:pPr>
    </w:p>
    <w:p w14:paraId="0A44517E" w14:textId="79F6F369" w:rsidR="00A117EB" w:rsidRDefault="00A117EB" w:rsidP="004160D0">
      <w:pPr>
        <w:spacing w:after="0" w:line="240" w:lineRule="auto"/>
      </w:pPr>
    </w:p>
    <w:p w14:paraId="11E4FC88" w14:textId="18B8AAC6" w:rsidR="00A117EB" w:rsidRDefault="00A117EB" w:rsidP="004160D0">
      <w:pPr>
        <w:spacing w:after="0" w:line="240" w:lineRule="auto"/>
      </w:pPr>
    </w:p>
    <w:p w14:paraId="7F7C3EB3" w14:textId="5C7E51E3" w:rsidR="00A117EB" w:rsidRDefault="00A117EB" w:rsidP="004160D0">
      <w:pPr>
        <w:spacing w:after="0" w:line="240" w:lineRule="auto"/>
      </w:pPr>
    </w:p>
    <w:p w14:paraId="75184ADA" w14:textId="3FFC81C9" w:rsidR="00A117EB" w:rsidRDefault="00A117EB" w:rsidP="004160D0">
      <w:pPr>
        <w:spacing w:after="0" w:line="240" w:lineRule="auto"/>
      </w:pPr>
    </w:p>
    <w:p w14:paraId="550BC7C5" w14:textId="3FFBC2E8" w:rsidR="00A117EB" w:rsidRDefault="00A117EB" w:rsidP="004160D0">
      <w:pPr>
        <w:spacing w:after="0" w:line="240" w:lineRule="auto"/>
      </w:pPr>
    </w:p>
    <w:p w14:paraId="38711F2A" w14:textId="66C562C6" w:rsidR="00A117EB" w:rsidRDefault="00A117EB" w:rsidP="004160D0">
      <w:pPr>
        <w:spacing w:after="0" w:line="240" w:lineRule="auto"/>
      </w:pPr>
    </w:p>
    <w:p w14:paraId="3D6B41F0" w14:textId="56CD5F44" w:rsidR="00A117EB" w:rsidRDefault="00A117EB" w:rsidP="004160D0">
      <w:pPr>
        <w:spacing w:after="0" w:line="240" w:lineRule="auto"/>
      </w:pPr>
    </w:p>
    <w:p w14:paraId="1FCC8DB2" w14:textId="05649EEA" w:rsidR="00A117EB" w:rsidRDefault="00A117EB" w:rsidP="004160D0">
      <w:pPr>
        <w:spacing w:after="0" w:line="240" w:lineRule="auto"/>
      </w:pPr>
    </w:p>
    <w:p w14:paraId="003121CC" w14:textId="77EA37B8" w:rsidR="00A117EB" w:rsidRDefault="00A117EB" w:rsidP="004160D0">
      <w:pPr>
        <w:spacing w:after="0" w:line="240" w:lineRule="auto"/>
      </w:pPr>
    </w:p>
    <w:p w14:paraId="6F6878EA" w14:textId="15F3A6F7" w:rsidR="00A117EB" w:rsidRDefault="00A117EB" w:rsidP="004160D0">
      <w:pPr>
        <w:spacing w:after="0" w:line="240" w:lineRule="auto"/>
      </w:pPr>
    </w:p>
    <w:p w14:paraId="3F59123E" w14:textId="571DBD6C" w:rsidR="00A117EB" w:rsidRDefault="00A117EB" w:rsidP="004160D0">
      <w:pPr>
        <w:spacing w:after="0" w:line="240" w:lineRule="auto"/>
      </w:pPr>
    </w:p>
    <w:p w14:paraId="2AF8BD77" w14:textId="238940EB" w:rsidR="00A117EB" w:rsidRDefault="00A117EB" w:rsidP="004160D0">
      <w:pPr>
        <w:spacing w:after="0" w:line="240" w:lineRule="auto"/>
      </w:pPr>
    </w:p>
    <w:p w14:paraId="638C442C" w14:textId="17202CCB" w:rsidR="00A117EB" w:rsidRDefault="00A117EB" w:rsidP="004160D0">
      <w:pPr>
        <w:spacing w:after="0" w:line="240" w:lineRule="auto"/>
      </w:pPr>
    </w:p>
    <w:p w14:paraId="4863354C" w14:textId="21007E60" w:rsidR="00A117EB" w:rsidRDefault="00A117EB" w:rsidP="004160D0">
      <w:pPr>
        <w:spacing w:after="0" w:line="240" w:lineRule="auto"/>
      </w:pPr>
    </w:p>
    <w:p w14:paraId="2AFCF395" w14:textId="45195247" w:rsidR="00A117EB" w:rsidRDefault="00A117EB" w:rsidP="004160D0">
      <w:pPr>
        <w:spacing w:after="0" w:line="240" w:lineRule="auto"/>
      </w:pPr>
    </w:p>
    <w:p w14:paraId="77763BA4" w14:textId="0DDAF838" w:rsidR="00A117EB" w:rsidRDefault="00A117EB" w:rsidP="004160D0">
      <w:pPr>
        <w:spacing w:after="0" w:line="240" w:lineRule="auto"/>
      </w:pPr>
    </w:p>
    <w:p w14:paraId="247136B7" w14:textId="264CD111" w:rsidR="00A117EB" w:rsidRDefault="00A117EB" w:rsidP="004160D0">
      <w:pPr>
        <w:spacing w:after="0" w:line="240" w:lineRule="auto"/>
      </w:pPr>
    </w:p>
    <w:p w14:paraId="6BFD30B2" w14:textId="6B420D5B" w:rsidR="00A117EB" w:rsidRDefault="00A117EB" w:rsidP="004160D0">
      <w:pPr>
        <w:spacing w:after="0" w:line="240" w:lineRule="auto"/>
      </w:pPr>
    </w:p>
    <w:p w14:paraId="4CF5545B" w14:textId="7AB1F954" w:rsidR="00A117EB" w:rsidRDefault="00A117EB" w:rsidP="004160D0">
      <w:pPr>
        <w:spacing w:after="0" w:line="240" w:lineRule="auto"/>
      </w:pPr>
    </w:p>
    <w:p w14:paraId="18B6F64B" w14:textId="77777777" w:rsidR="00A117EB" w:rsidRDefault="00A117EB" w:rsidP="004160D0">
      <w:pPr>
        <w:spacing w:after="0" w:line="240" w:lineRule="auto"/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20"/>
        <w:gridCol w:w="3261"/>
        <w:gridCol w:w="1701"/>
        <w:gridCol w:w="160"/>
        <w:gridCol w:w="1541"/>
        <w:gridCol w:w="1489"/>
        <w:gridCol w:w="1211"/>
      </w:tblGrid>
      <w:tr w:rsidR="00A54877" w:rsidRPr="00A54877" w14:paraId="1CA69CBD" w14:textId="77777777" w:rsidTr="00B43B34">
        <w:trPr>
          <w:gridAfter w:val="1"/>
          <w:wAfter w:w="1211" w:type="dxa"/>
          <w:trHeight w:val="283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7F67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Rozpočet nákladů projektu/činnosti - 1. složka I. pilíře</w:t>
            </w:r>
          </w:p>
        </w:tc>
      </w:tr>
      <w:tr w:rsidR="00A54877" w:rsidRPr="00A54877" w14:paraId="6ED26FDC" w14:textId="77777777" w:rsidTr="00B43B34">
        <w:trPr>
          <w:gridAfter w:val="1"/>
          <w:wAfter w:w="1211" w:type="dxa"/>
          <w:trHeight w:val="509"/>
        </w:trPr>
        <w:tc>
          <w:tcPr>
            <w:tcW w:w="7797" w:type="dxa"/>
            <w:gridSpan w:val="6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3ED7BE2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75A5A5B1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</w:tr>
      <w:tr w:rsidR="00A54877" w:rsidRPr="00A54877" w14:paraId="16DAAE34" w14:textId="77777777" w:rsidTr="004160D0">
        <w:trPr>
          <w:gridAfter w:val="1"/>
          <w:wAfter w:w="1211" w:type="dxa"/>
          <w:trHeight w:val="509"/>
        </w:trPr>
        <w:tc>
          <w:tcPr>
            <w:tcW w:w="7797" w:type="dxa"/>
            <w:gridSpan w:val="6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1A2EC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9824D4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4877" w:rsidRPr="00A54877" w14:paraId="57FB60E4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9B078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3D28C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10E5E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0E6E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6A24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40B60040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0FD8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3CB9ADB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00A9D5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04E42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4719D0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</w:tr>
      <w:tr w:rsidR="00A54877" w:rsidRPr="00A54877" w14:paraId="6191A029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3480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27F6E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37E0D8" w14:textId="0F91CD32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1 085 000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9B215" w14:textId="27388DE0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668 000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F1B3F5" w14:textId="0ADD1370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665 00</w:t>
            </w:r>
            <w:r w:rsidR="00A54877"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5FA1AD7C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CC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75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954" w14:textId="38803041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288 000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000" w14:textId="67A33BF4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2A97" w14:textId="37057CBA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2F4B646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9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6D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1EA" w14:textId="25B50BA1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97 000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21D" w14:textId="6CC30A7B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68 000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4FCA" w14:textId="0555566A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EEAE633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69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76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315" w14:textId="0440B00B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199" w14:textId="605E7A5D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F3AC" w14:textId="6A2F30E3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61B2530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6E511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A568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46F540" w14:textId="59A1BD3C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3B81AD" w14:textId="1003E13D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60 000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EA9321" w14:textId="6C2C0D34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A54877" w:rsidRPr="00A54877" w14:paraId="052AA2D7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83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13A" w14:textId="7A619707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Sportovní potřeby, hokejová výstroj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4D6" w14:textId="72EB2A24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C9E" w14:textId="0A6F4FE8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224C" w14:textId="39D64D8F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7809CDB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4D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C6C" w14:textId="4AB1253A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Věcné odměny – medaile,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poháry, 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18E" w14:textId="0C259F7E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8E0" w14:textId="1A6454A8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2F9F" w14:textId="6D6A3612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6CDBC4FA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34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A03" w14:textId="3D710B2A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Zdravotnický materiál, drogistické zboží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DC3" w14:textId="37C4B6B0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14D" w14:textId="10A149FE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0168" w14:textId="1EA9498D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40DA" w:rsidRPr="00A54877" w14:paraId="62AF654D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909F" w14:textId="213E2A11" w:rsidR="00AE40DA" w:rsidRPr="00AE40DA" w:rsidRDefault="00AE40DA" w:rsidP="00AE40D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2.4. </w:t>
            </w:r>
            <w:r w:rsidRP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FFC" w14:textId="157A9ED6" w:rsidR="00AE40DA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Spotřební materiál – brusné kotouče,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diamantový  zabrušovač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9BC" w14:textId="25263A43" w:rsidR="00AE40DA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5F86" w14:textId="144BDBFC" w:rsidR="00AE40DA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C636F" w14:textId="5F77672F" w:rsidR="00AE40DA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E40DA" w:rsidRPr="00A54877" w14:paraId="0445F2BB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8AC6" w14:textId="5C4AE714" w:rsidR="00AE40DA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F14" w14:textId="6FBA6A61" w:rsidR="00AE40DA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Kancelářské potřeby, ostatní spotřební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13E" w14:textId="33E9E28A" w:rsidR="00AE40DA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C3B" w14:textId="2EA49516" w:rsidR="00AE40DA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12ED" w14:textId="02BE626D" w:rsidR="00AE40DA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5BE483E3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208E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0C67D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97E05" w14:textId="7105F66D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6485DF" w14:textId="6E824DBF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707FD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16A26F9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B2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D40" w14:textId="71164663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2ks notebook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531" w14:textId="309B3BE2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154" w14:textId="2DEB1281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1D1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EB5DB4D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2C94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455EF9" w14:textId="77777777" w:rsidR="00A54877" w:rsidRPr="00A54877" w:rsidRDefault="00A54877" w:rsidP="00A548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595B75" w14:textId="1BD6F09E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16920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C564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06FFEF88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A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C4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092" w14:textId="05BEA66A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D63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FB77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C7B3BFD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C1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38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132" w14:textId="0CCDE83D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E5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A8D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0F49E4E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5F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4B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1B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28A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B515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7A18FC8D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3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4F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CF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49F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600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268D1D70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2BDA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D2483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628B" w14:textId="02EFC660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4 886 000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13372D" w14:textId="27941C6F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2 870 000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389A87" w14:textId="727281CF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1 921 000</w:t>
            </w:r>
          </w:p>
        </w:tc>
      </w:tr>
      <w:tr w:rsidR="00A54877" w:rsidRPr="00A54877" w14:paraId="5646ACB2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6D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F68" w14:textId="4EC4F68A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pronájem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B0B" w14:textId="6C5FDC5E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55A" w14:textId="5C5443EF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D6F1" w14:textId="2DEADB5C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36F53D4C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E0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113" w14:textId="19B45BA8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Rozhodčí, časomíra, zdravotník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F1B" w14:textId="55194A57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402 000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A68" w14:textId="1617FDAE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6B53" w14:textId="37E5CA3D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131 000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16AB8DE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70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A6A" w14:textId="380650C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Pronájem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ledové plochy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370" w14:textId="51E9BBF1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2 434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536" w14:textId="0DB15847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2 000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678" w14:textId="79EFD09B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1 500 000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10477863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D3C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F71" w14:textId="01B19618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Pronájem tělocvičen a ostatních sportovišť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82D" w14:textId="33A5FDA8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64A" w14:textId="6E2624FF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8CF5" w14:textId="0022B7C8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1EFC121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83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DA2" w14:textId="74049505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Externí pracovníci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B0B" w14:textId="06463DDC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1 300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1DD" w14:textId="3409886B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9891" w14:textId="7C309F60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240 000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32F6EEA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94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524" w14:textId="03E830D7" w:rsidR="00A54877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Přihlášky do soutěží a aktivizace hráčů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25D" w14:textId="293FB414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AAC" w14:textId="240B17D7" w:rsidR="00A54877" w:rsidRPr="00A54877" w:rsidRDefault="00C9257D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7DDE" w14:textId="7B69058E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5B6BCF0A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28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E3" w14:textId="2477E662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E40D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Turnaje startovné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D89" w14:textId="0E727E08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E04" w14:textId="28AD70AB" w:rsidR="00A54877" w:rsidRPr="00A54877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</w:t>
            </w:r>
            <w:r w:rsidR="00C9257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72DA" w14:textId="3873717C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50 000</w:t>
            </w:r>
            <w:r w:rsidR="00A54877"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E40DA" w:rsidRPr="00A54877" w14:paraId="18EFF296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6D96" w14:textId="7AD8D3BE" w:rsidR="00AE40DA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5.8 Položka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0E8C2" w14:textId="3028F235" w:rsidR="00AE40DA" w:rsidRPr="00A54877" w:rsidRDefault="00AE40DA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4F72" w14:textId="38FAE561" w:rsidR="00AE40DA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A6A48" w14:textId="0C3E9E92" w:rsidR="00AE40DA" w:rsidRDefault="00AE40DA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4C29E5" w14:textId="3FD56422" w:rsidR="00AE40DA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5BA52E2C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2952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140A0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92831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F7D97C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F4349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5B664A5" w14:textId="77777777" w:rsidTr="00B43B34">
        <w:trPr>
          <w:gridAfter w:val="1"/>
          <w:wAfter w:w="1211" w:type="dxa"/>
          <w:trHeight w:val="28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1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56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512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AE8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182D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FB4CAE7" w14:textId="77777777" w:rsidTr="00B43B34">
        <w:trPr>
          <w:gridAfter w:val="1"/>
          <w:wAfter w:w="1211" w:type="dxa"/>
          <w:trHeight w:val="283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3FCFC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13DEB6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53D3E4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F4C19E" w14:textId="77777777" w:rsidR="00A54877" w:rsidRPr="00A54877" w:rsidRDefault="00A54877" w:rsidP="00A548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54877" w:rsidRPr="00A54877" w14:paraId="236A8092" w14:textId="77777777" w:rsidTr="00B43B34">
        <w:trPr>
          <w:gridAfter w:val="1"/>
          <w:wAfter w:w="1211" w:type="dxa"/>
          <w:trHeight w:val="5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D8C7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DD93A" w14:textId="2A840489" w:rsidR="00A54877" w:rsidRPr="00A54877" w:rsidRDefault="00B43B34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6 331 000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2B50" w14:textId="451CE37E" w:rsidR="00A54877" w:rsidRPr="00A54877" w:rsidRDefault="00B43B34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3 618</w:t>
            </w:r>
            <w:r w:rsidR="00C925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815A1A" w14:textId="7D32B722" w:rsidR="00A54877" w:rsidRPr="00A54877" w:rsidRDefault="00A117EB" w:rsidP="00A548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2 636 000</w:t>
            </w:r>
          </w:p>
        </w:tc>
      </w:tr>
      <w:tr w:rsidR="00A54877" w:rsidRPr="00A54877" w14:paraId="0C33C281" w14:textId="77777777" w:rsidTr="00A117EB">
        <w:trPr>
          <w:gridAfter w:val="1"/>
          <w:wAfter w:w="1211" w:type="dxa"/>
          <w:trHeight w:val="509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334C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C5E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636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C99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015BB068" w14:textId="77777777" w:rsidTr="00B43B34">
        <w:trPr>
          <w:gridAfter w:val="1"/>
          <w:wAfter w:w="1211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E2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3DB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22F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C57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0FFA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4877" w:rsidRPr="00A54877" w14:paraId="7A64BF36" w14:textId="77777777" w:rsidTr="00B43B34">
        <w:trPr>
          <w:gridAfter w:val="1"/>
          <w:wAfter w:w="1211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4B4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94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17D5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44EE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56B9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54877" w:rsidRPr="00A54877" w14:paraId="094C1963" w14:textId="77777777" w:rsidTr="00B43B34">
        <w:trPr>
          <w:gridAfter w:val="1"/>
          <w:wAfter w:w="1211" w:type="dxa"/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9D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952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09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93AD" w14:textId="77777777" w:rsidR="00A54877" w:rsidRPr="00A54877" w:rsidRDefault="00A54877" w:rsidP="00A548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5487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 statutárního zástupce</w:t>
            </w:r>
          </w:p>
        </w:tc>
      </w:tr>
      <w:tr w:rsidR="00A54877" w:rsidRPr="00A54877" w14:paraId="2ADB1494" w14:textId="77777777" w:rsidTr="00A54877">
        <w:trPr>
          <w:trHeight w:val="28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DA8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3B1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916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E63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AD4D" w14:textId="77777777" w:rsidR="00A54877" w:rsidRPr="00A54877" w:rsidRDefault="00A54877" w:rsidP="00A54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1B12EAF" w14:textId="77777777" w:rsidR="00A54877" w:rsidRDefault="00A54877" w:rsidP="00A54877">
      <w:pPr>
        <w:spacing w:after="0" w:line="240" w:lineRule="auto"/>
        <w:ind w:left="-709" w:firstLine="708"/>
      </w:pPr>
    </w:p>
    <w:p w14:paraId="7558BCE6" w14:textId="77777777" w:rsidR="005C2BA0" w:rsidRPr="001466B6" w:rsidRDefault="005C2BA0" w:rsidP="00A54877">
      <w:pPr>
        <w:spacing w:after="0" w:line="240" w:lineRule="auto"/>
        <w:ind w:left="-709" w:firstLine="714"/>
        <w:jc w:val="right"/>
      </w:pPr>
    </w:p>
    <w:sectPr w:rsidR="005C2BA0" w:rsidRPr="001466B6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54488" w14:textId="77777777" w:rsidR="00461FC4" w:rsidRDefault="00461FC4" w:rsidP="00C85B3B">
      <w:pPr>
        <w:spacing w:after="0" w:line="240" w:lineRule="auto"/>
      </w:pPr>
      <w:r>
        <w:separator/>
      </w:r>
    </w:p>
  </w:endnote>
  <w:endnote w:type="continuationSeparator" w:id="0">
    <w:p w14:paraId="24D95814" w14:textId="77777777" w:rsidR="00461FC4" w:rsidRDefault="00461FC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ADA0" w14:textId="77777777" w:rsidR="00461FC4" w:rsidRDefault="00461FC4" w:rsidP="00C85B3B">
      <w:pPr>
        <w:spacing w:after="0" w:line="240" w:lineRule="auto"/>
      </w:pPr>
      <w:r>
        <w:separator/>
      </w:r>
    </w:p>
  </w:footnote>
  <w:footnote w:type="continuationSeparator" w:id="0">
    <w:p w14:paraId="6A075CD6" w14:textId="77777777" w:rsidR="00461FC4" w:rsidRDefault="00461FC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CBED" w14:textId="77777777" w:rsidR="00B31C31" w:rsidRDefault="00B31C31">
    <w:pPr>
      <w:pStyle w:val="Zhlav"/>
    </w:pPr>
    <w:r>
      <w:t>Příloha č. 1: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multilevel"/>
    <w:tmpl w:val="C44E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36E0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57B2E"/>
    <w:rsid w:val="000606D7"/>
    <w:rsid w:val="000613E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169"/>
    <w:rsid w:val="00101DD8"/>
    <w:rsid w:val="00103692"/>
    <w:rsid w:val="001060E4"/>
    <w:rsid w:val="0012245B"/>
    <w:rsid w:val="001261BA"/>
    <w:rsid w:val="00136124"/>
    <w:rsid w:val="00141277"/>
    <w:rsid w:val="001466B6"/>
    <w:rsid w:val="00150F5D"/>
    <w:rsid w:val="00151F45"/>
    <w:rsid w:val="001806A1"/>
    <w:rsid w:val="00196C96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3F6D"/>
    <w:rsid w:val="00345B84"/>
    <w:rsid w:val="00362CAA"/>
    <w:rsid w:val="00372AF3"/>
    <w:rsid w:val="003B0B74"/>
    <w:rsid w:val="003B2218"/>
    <w:rsid w:val="003C3D82"/>
    <w:rsid w:val="003D0E9C"/>
    <w:rsid w:val="003D2FEA"/>
    <w:rsid w:val="003E7B8A"/>
    <w:rsid w:val="00405530"/>
    <w:rsid w:val="004059D8"/>
    <w:rsid w:val="00410D2A"/>
    <w:rsid w:val="004160D0"/>
    <w:rsid w:val="00422989"/>
    <w:rsid w:val="00424F1E"/>
    <w:rsid w:val="00435B06"/>
    <w:rsid w:val="00435EF7"/>
    <w:rsid w:val="0044078F"/>
    <w:rsid w:val="00440F0C"/>
    <w:rsid w:val="00461FC4"/>
    <w:rsid w:val="00464739"/>
    <w:rsid w:val="00467EB8"/>
    <w:rsid w:val="00490C2A"/>
    <w:rsid w:val="004A760A"/>
    <w:rsid w:val="004B05B6"/>
    <w:rsid w:val="004C70B8"/>
    <w:rsid w:val="004D29D2"/>
    <w:rsid w:val="004F3FA0"/>
    <w:rsid w:val="005055E7"/>
    <w:rsid w:val="00507456"/>
    <w:rsid w:val="0050755F"/>
    <w:rsid w:val="00515AFE"/>
    <w:rsid w:val="00523A97"/>
    <w:rsid w:val="005331CF"/>
    <w:rsid w:val="00545683"/>
    <w:rsid w:val="00555E59"/>
    <w:rsid w:val="00571D26"/>
    <w:rsid w:val="005736E0"/>
    <w:rsid w:val="005B4641"/>
    <w:rsid w:val="005C0AEE"/>
    <w:rsid w:val="005C0FAC"/>
    <w:rsid w:val="005C2BA0"/>
    <w:rsid w:val="005E46B7"/>
    <w:rsid w:val="005E499B"/>
    <w:rsid w:val="005E7741"/>
    <w:rsid w:val="005F0BC4"/>
    <w:rsid w:val="005F6F3D"/>
    <w:rsid w:val="006006E8"/>
    <w:rsid w:val="00633C01"/>
    <w:rsid w:val="006455E6"/>
    <w:rsid w:val="006574E7"/>
    <w:rsid w:val="00687C5E"/>
    <w:rsid w:val="00697E6E"/>
    <w:rsid w:val="006C649A"/>
    <w:rsid w:val="006E55C9"/>
    <w:rsid w:val="006F332F"/>
    <w:rsid w:val="00706C6C"/>
    <w:rsid w:val="00706CB0"/>
    <w:rsid w:val="00723A18"/>
    <w:rsid w:val="0073089A"/>
    <w:rsid w:val="00744EEA"/>
    <w:rsid w:val="00746858"/>
    <w:rsid w:val="007514AA"/>
    <w:rsid w:val="00751598"/>
    <w:rsid w:val="00752B4F"/>
    <w:rsid w:val="00761B19"/>
    <w:rsid w:val="00765B55"/>
    <w:rsid w:val="0076708A"/>
    <w:rsid w:val="00775DB7"/>
    <w:rsid w:val="007768DA"/>
    <w:rsid w:val="007A2E30"/>
    <w:rsid w:val="007A3C94"/>
    <w:rsid w:val="007C0C6B"/>
    <w:rsid w:val="007D3460"/>
    <w:rsid w:val="007E0C12"/>
    <w:rsid w:val="008046CF"/>
    <w:rsid w:val="00812AD7"/>
    <w:rsid w:val="00812AF2"/>
    <w:rsid w:val="00815903"/>
    <w:rsid w:val="00841865"/>
    <w:rsid w:val="00847BDF"/>
    <w:rsid w:val="008717B4"/>
    <w:rsid w:val="00876C67"/>
    <w:rsid w:val="008A47EC"/>
    <w:rsid w:val="008B21E1"/>
    <w:rsid w:val="008B2520"/>
    <w:rsid w:val="008D1D65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B39A3"/>
    <w:rsid w:val="009C618A"/>
    <w:rsid w:val="009D2392"/>
    <w:rsid w:val="009E2916"/>
    <w:rsid w:val="009E7736"/>
    <w:rsid w:val="009F49AB"/>
    <w:rsid w:val="00A033BB"/>
    <w:rsid w:val="00A117EB"/>
    <w:rsid w:val="00A333C0"/>
    <w:rsid w:val="00A33DE6"/>
    <w:rsid w:val="00A54877"/>
    <w:rsid w:val="00A63E6F"/>
    <w:rsid w:val="00A70E7F"/>
    <w:rsid w:val="00A72824"/>
    <w:rsid w:val="00A7759F"/>
    <w:rsid w:val="00A94757"/>
    <w:rsid w:val="00A94E48"/>
    <w:rsid w:val="00AB00A2"/>
    <w:rsid w:val="00AD6B8C"/>
    <w:rsid w:val="00AE40DA"/>
    <w:rsid w:val="00AE79B1"/>
    <w:rsid w:val="00B162A7"/>
    <w:rsid w:val="00B31C31"/>
    <w:rsid w:val="00B40BE8"/>
    <w:rsid w:val="00B43B34"/>
    <w:rsid w:val="00B66381"/>
    <w:rsid w:val="00B66843"/>
    <w:rsid w:val="00B80E1B"/>
    <w:rsid w:val="00B820A5"/>
    <w:rsid w:val="00B92E0D"/>
    <w:rsid w:val="00BA18AA"/>
    <w:rsid w:val="00BB08F1"/>
    <w:rsid w:val="00BD4BA0"/>
    <w:rsid w:val="00BD5166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224B"/>
    <w:rsid w:val="00C85B3B"/>
    <w:rsid w:val="00C9257D"/>
    <w:rsid w:val="00C95DF2"/>
    <w:rsid w:val="00CA4E02"/>
    <w:rsid w:val="00CB29F5"/>
    <w:rsid w:val="00CC2A13"/>
    <w:rsid w:val="00CD1804"/>
    <w:rsid w:val="00CE0C7B"/>
    <w:rsid w:val="00D0209D"/>
    <w:rsid w:val="00D03F39"/>
    <w:rsid w:val="00D061A6"/>
    <w:rsid w:val="00D11EC7"/>
    <w:rsid w:val="00D14623"/>
    <w:rsid w:val="00D36C1A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37A43"/>
    <w:rsid w:val="00E505E8"/>
    <w:rsid w:val="00E56A0F"/>
    <w:rsid w:val="00E73E9F"/>
    <w:rsid w:val="00E7535A"/>
    <w:rsid w:val="00E832B8"/>
    <w:rsid w:val="00E8334E"/>
    <w:rsid w:val="00E83BF5"/>
    <w:rsid w:val="00E9312E"/>
    <w:rsid w:val="00E940F7"/>
    <w:rsid w:val="00EA6E73"/>
    <w:rsid w:val="00EC77C7"/>
    <w:rsid w:val="00EE32F3"/>
    <w:rsid w:val="00EF6F91"/>
    <w:rsid w:val="00F02DDA"/>
    <w:rsid w:val="00F25494"/>
    <w:rsid w:val="00F300D7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0094"/>
    <w:rsid w:val="00FA373F"/>
    <w:rsid w:val="00FA50DE"/>
    <w:rsid w:val="00FB1540"/>
    <w:rsid w:val="00FB3A6C"/>
    <w:rsid w:val="00FB5F40"/>
    <w:rsid w:val="00FC3690"/>
    <w:rsid w:val="00FC4791"/>
    <w:rsid w:val="00FC7A89"/>
    <w:rsid w:val="00FD0C18"/>
    <w:rsid w:val="00FD0C76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3D8F65"/>
  <w15:docId w15:val="{6755DD10-E283-4C3A-BEC9-5775B8A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EF23-EDFD-442B-9F14-32B5C60D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2095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6</cp:revision>
  <cp:lastPrinted>2024-12-19T07:59:00Z</cp:lastPrinted>
  <dcterms:created xsi:type="dcterms:W3CDTF">2024-11-12T13:14:00Z</dcterms:created>
  <dcterms:modified xsi:type="dcterms:W3CDTF">2024-12-19T07:59:00Z</dcterms:modified>
</cp:coreProperties>
</file>