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06" w:rsidRPr="00962A96" w:rsidRDefault="000C2A06" w:rsidP="000C2A06">
      <w:pPr>
        <w:jc w:val="center"/>
        <w:rPr>
          <w:rFonts w:ascii="Arial" w:hAnsi="Arial" w:cs="Arial"/>
          <w:b/>
          <w:sz w:val="30"/>
        </w:rPr>
      </w:pPr>
      <w:proofErr w:type="gramStart"/>
      <w:r w:rsidRPr="00962A96">
        <w:rPr>
          <w:rFonts w:ascii="Arial" w:hAnsi="Arial" w:cs="Arial"/>
          <w:b/>
          <w:sz w:val="30"/>
        </w:rPr>
        <w:t>K U P N Í     S M L O U V A</w:t>
      </w:r>
      <w:proofErr w:type="gramEnd"/>
    </w:p>
    <w:p w:rsidR="000C2A06" w:rsidRPr="00962A96" w:rsidRDefault="000C2A06" w:rsidP="000C2A06">
      <w:pPr>
        <w:jc w:val="both"/>
        <w:rPr>
          <w:rFonts w:ascii="Arial" w:hAnsi="Arial" w:cs="Arial"/>
          <w:b/>
          <w:sz w:val="30"/>
        </w:rPr>
      </w:pPr>
    </w:p>
    <w:p w:rsidR="000C2A06" w:rsidRPr="00962A96" w:rsidRDefault="000C2A06" w:rsidP="000C2A06">
      <w:pPr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na dodávku a odběr tepla a TUV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8"/>
        </w:rPr>
      </w:pPr>
    </w:p>
    <w:p w:rsidR="000C2A06" w:rsidRPr="00962A96" w:rsidRDefault="000C2A06" w:rsidP="000C2A06">
      <w:pPr>
        <w:jc w:val="center"/>
        <w:rPr>
          <w:rFonts w:ascii="Arial" w:hAnsi="Arial" w:cs="Arial"/>
          <w:sz w:val="28"/>
        </w:rPr>
      </w:pPr>
      <w:proofErr w:type="gramStart"/>
      <w:r w:rsidRPr="00962A96">
        <w:rPr>
          <w:rFonts w:ascii="Arial" w:hAnsi="Arial" w:cs="Arial"/>
          <w:sz w:val="28"/>
        </w:rPr>
        <w:t>mezi</w:t>
      </w:r>
      <w:proofErr w:type="gramEnd"/>
    </w:p>
    <w:p w:rsidR="000C2A06" w:rsidRPr="00962A96" w:rsidRDefault="000C2A06" w:rsidP="000C2A06">
      <w:pPr>
        <w:jc w:val="both"/>
        <w:rPr>
          <w:rFonts w:ascii="Arial" w:hAnsi="Arial" w:cs="Arial"/>
          <w:b/>
          <w:sz w:val="28"/>
        </w:rPr>
      </w:pPr>
    </w:p>
    <w:p w:rsidR="000C2A06" w:rsidRPr="00962A96" w:rsidRDefault="000C2A06" w:rsidP="000C2A06">
      <w:pPr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 xml:space="preserve">Vyšší odbornou školou a Střední průmyslovou školou, </w:t>
      </w:r>
    </w:p>
    <w:p w:rsidR="000C2A06" w:rsidRPr="00962A96" w:rsidRDefault="000C2A06" w:rsidP="000C2A06">
      <w:pPr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Resslova 440</w:t>
      </w:r>
      <w:r>
        <w:rPr>
          <w:rFonts w:ascii="Arial" w:hAnsi="Arial" w:cs="Arial"/>
          <w:b/>
          <w:sz w:val="28"/>
        </w:rPr>
        <w:t>,</w:t>
      </w:r>
      <w:r w:rsidRPr="00C4685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Volyně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8"/>
        </w:rPr>
      </w:pPr>
    </w:p>
    <w:p w:rsidR="000C2A06" w:rsidRPr="00962A96" w:rsidRDefault="000C2A06" w:rsidP="000C2A06">
      <w:pPr>
        <w:jc w:val="center"/>
        <w:rPr>
          <w:rFonts w:ascii="Arial" w:hAnsi="Arial" w:cs="Arial"/>
          <w:b/>
          <w:sz w:val="24"/>
        </w:rPr>
      </w:pPr>
      <w:r w:rsidRPr="00962A96">
        <w:rPr>
          <w:rFonts w:ascii="Arial" w:hAnsi="Arial" w:cs="Arial"/>
          <w:b/>
          <w:sz w:val="24"/>
        </w:rPr>
        <w:t>IČ 60650494</w:t>
      </w:r>
      <w:r w:rsidRPr="00962A96">
        <w:rPr>
          <w:rFonts w:ascii="Arial" w:hAnsi="Arial" w:cs="Arial"/>
          <w:b/>
          <w:sz w:val="24"/>
        </w:rPr>
        <w:tab/>
      </w:r>
      <w:r w:rsidRPr="00962A96">
        <w:rPr>
          <w:rFonts w:ascii="Arial" w:hAnsi="Arial" w:cs="Arial"/>
          <w:b/>
          <w:sz w:val="24"/>
        </w:rPr>
        <w:tab/>
        <w:t>DIČ CZ 60650494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/dále jen dodavatel/ na straně jedné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zastoupenou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RNDr. Jiřím Homolkou, ředitelem školy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a</w:t>
      </w:r>
    </w:p>
    <w:p w:rsidR="000C2A06" w:rsidRPr="00962A96" w:rsidRDefault="000C2A06" w:rsidP="000C2A06">
      <w:pPr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Střední školou a Jazykovou školou s právem státní jazykové zkoušky, Lidická 135</w:t>
      </w:r>
      <w:r>
        <w:rPr>
          <w:rFonts w:ascii="Arial" w:hAnsi="Arial" w:cs="Arial"/>
          <w:b/>
          <w:sz w:val="28"/>
        </w:rPr>
        <w:t>, Volyně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8"/>
        </w:rPr>
      </w:pPr>
    </w:p>
    <w:p w:rsidR="000C2A06" w:rsidRPr="00962A96" w:rsidRDefault="000C2A06" w:rsidP="000C2A06">
      <w:pPr>
        <w:jc w:val="center"/>
        <w:rPr>
          <w:rFonts w:ascii="Arial" w:hAnsi="Arial" w:cs="Arial"/>
          <w:b/>
          <w:sz w:val="24"/>
        </w:rPr>
      </w:pPr>
      <w:r w:rsidRPr="00962A96">
        <w:rPr>
          <w:rFonts w:ascii="Arial" w:hAnsi="Arial" w:cs="Arial"/>
          <w:b/>
          <w:sz w:val="24"/>
        </w:rPr>
        <w:t>IČ  60650478</w:t>
      </w:r>
      <w:r w:rsidRPr="00962A96">
        <w:rPr>
          <w:rFonts w:ascii="Arial" w:hAnsi="Arial" w:cs="Arial"/>
          <w:b/>
          <w:sz w:val="24"/>
        </w:rPr>
        <w:tab/>
        <w:t>DIČ CZ 60650478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/dále jen odběratel/ na straně druhé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zastoupenou</w:t>
      </w:r>
    </w:p>
    <w:p w:rsidR="000C2A06" w:rsidRPr="00962A96" w:rsidRDefault="000C2A06" w:rsidP="000C2A06">
      <w:pPr>
        <w:spacing w:before="120" w:after="12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PaedDr. Evou Klasovou, ředitelkou školy</w:t>
      </w:r>
    </w:p>
    <w:p w:rsidR="000C2A06" w:rsidRPr="00962A96" w:rsidRDefault="000C2A06" w:rsidP="000C2A06">
      <w:pPr>
        <w:spacing w:before="240" w:after="240"/>
        <w:jc w:val="center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sjednaná dne </w:t>
      </w:r>
      <w:r>
        <w:rPr>
          <w:rFonts w:ascii="Arial" w:hAnsi="Arial" w:cs="Arial"/>
          <w:b/>
          <w:sz w:val="24"/>
          <w:shd w:val="clear" w:color="auto" w:fill="F2F2F2"/>
        </w:rPr>
        <w:t>20. ledna 2025</w:t>
      </w:r>
      <w:r w:rsidRPr="00E112E3">
        <w:rPr>
          <w:rFonts w:ascii="Arial" w:hAnsi="Arial" w:cs="Arial"/>
          <w:sz w:val="24"/>
        </w:rPr>
        <w:t>.</w:t>
      </w:r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Čl. I.</w:t>
      </w:r>
    </w:p>
    <w:p w:rsidR="000C2A06" w:rsidRPr="00962A96" w:rsidRDefault="000C2A06" w:rsidP="000C2A06">
      <w:pPr>
        <w:spacing w:before="120" w:after="2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Všeobecná ustanovení</w:t>
      </w:r>
    </w:p>
    <w:p w:rsidR="000C2A06" w:rsidRPr="00962A96" w:rsidRDefault="000C2A06" w:rsidP="000C2A06">
      <w:pPr>
        <w:numPr>
          <w:ilvl w:val="0"/>
          <w:numId w:val="1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Předmětem smlouvy je závazek dodavatele dodávat tepelnou energii ze svého zařízení do odběrného místa odběratele v souladu s touto smlouvou a závazek odběratele zaplatit za dodanou a odebranou tepelnou energii cenu za podmínek uvedených v této smlouvě.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Zařízením dodavatele pro dodávky tepla a teplé užitkové vody je kotelna VOŠ a SPŠ Volyně. Odběrným místem odběratele je budova ve správě odběratele: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b/>
          <w:sz w:val="24"/>
        </w:rPr>
        <w:t>Domov mládeže SŠ a JŠ</w:t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  <w:t>o vytápěné ploše</w:t>
      </w:r>
      <w:r w:rsidRPr="00962A96">
        <w:rPr>
          <w:rFonts w:ascii="Arial" w:hAnsi="Arial" w:cs="Arial"/>
          <w:sz w:val="24"/>
        </w:rPr>
        <w:tab/>
      </w:r>
      <w:smartTag w:uri="urn:schemas-microsoft-com:office:smarttags" w:element="metricconverter">
        <w:smartTagPr>
          <w:attr w:name="ProductID" w:val="2 644 m2"/>
        </w:smartTagPr>
        <w:r w:rsidRPr="00962A96">
          <w:rPr>
            <w:rFonts w:ascii="Arial" w:hAnsi="Arial" w:cs="Arial"/>
            <w:b/>
            <w:sz w:val="24"/>
          </w:rPr>
          <w:t>2 644 m</w:t>
        </w:r>
        <w:r w:rsidRPr="00C46857">
          <w:rPr>
            <w:rFonts w:ascii="Arial" w:hAnsi="Arial" w:cs="Arial"/>
            <w:b/>
            <w:position w:val="4"/>
            <w:sz w:val="24"/>
            <w:vertAlign w:val="superscript"/>
          </w:rPr>
          <w:t>2</w:t>
        </w:r>
      </w:smartTag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1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Spotřeba tepla se určí podílem odběratele na celkovém množství tímto způsobem:</w:t>
      </w:r>
    </w:p>
    <w:p w:rsidR="000C2A06" w:rsidRPr="00962A96" w:rsidRDefault="000C2A06" w:rsidP="000C2A06">
      <w:pPr>
        <w:spacing w:before="120" w:after="12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Odběry tepla jsou měřeny u všech odběratelů, tudíž se množství tepla </w:t>
      </w:r>
      <w:proofErr w:type="gramStart"/>
      <w:r w:rsidRPr="00962A96">
        <w:rPr>
          <w:rFonts w:ascii="Arial" w:hAnsi="Arial" w:cs="Arial"/>
          <w:sz w:val="24"/>
        </w:rPr>
        <w:t xml:space="preserve">určí </w:t>
      </w:r>
      <w:r>
        <w:rPr>
          <w:rFonts w:ascii="Arial" w:hAnsi="Arial" w:cs="Arial"/>
          <w:sz w:val="24"/>
        </w:rPr>
        <w:t xml:space="preserve">            </w:t>
      </w:r>
      <w:r w:rsidRPr="00962A96">
        <w:rPr>
          <w:rFonts w:ascii="Arial" w:hAnsi="Arial" w:cs="Arial"/>
          <w:sz w:val="24"/>
        </w:rPr>
        <w:t>dle</w:t>
      </w:r>
      <w:proofErr w:type="gramEnd"/>
      <w:r w:rsidRPr="00962A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h</w:t>
      </w:r>
      <w:r w:rsidRPr="00962A96">
        <w:rPr>
          <w:rFonts w:ascii="Arial" w:hAnsi="Arial" w:cs="Arial"/>
          <w:sz w:val="24"/>
        </w:rPr>
        <w:t>odnot</w:t>
      </w:r>
      <w:r>
        <w:rPr>
          <w:rFonts w:ascii="Arial" w:hAnsi="Arial" w:cs="Arial"/>
          <w:sz w:val="24"/>
        </w:rPr>
        <w:t xml:space="preserve"> </w:t>
      </w:r>
      <w:r w:rsidRPr="00962A96">
        <w:rPr>
          <w:rFonts w:ascii="Arial" w:hAnsi="Arial" w:cs="Arial"/>
          <w:sz w:val="24"/>
        </w:rPr>
        <w:t>odečtených na měřidle v místě plnění dodávek.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 </w:t>
      </w:r>
    </w:p>
    <w:p w:rsidR="000C2A06" w:rsidRPr="004A40C2" w:rsidRDefault="000C2A06" w:rsidP="000C2A06">
      <w:pPr>
        <w:numPr>
          <w:ilvl w:val="0"/>
          <w:numId w:val="1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Místem plnění ze strany dodavatele je vstup rozvodné sítě do objektu </w:t>
      </w:r>
      <w:proofErr w:type="gramStart"/>
      <w:r w:rsidRPr="00962A96">
        <w:rPr>
          <w:rFonts w:ascii="Arial" w:hAnsi="Arial" w:cs="Arial"/>
          <w:sz w:val="24"/>
        </w:rPr>
        <w:t xml:space="preserve">odběratele, </w:t>
      </w:r>
      <w:r>
        <w:rPr>
          <w:rFonts w:ascii="Arial" w:hAnsi="Arial" w:cs="Arial"/>
          <w:sz w:val="24"/>
        </w:rPr>
        <w:t xml:space="preserve">    </w:t>
      </w:r>
      <w:r w:rsidRPr="00962A96">
        <w:rPr>
          <w:rFonts w:ascii="Arial" w:hAnsi="Arial" w:cs="Arial"/>
          <w:sz w:val="24"/>
        </w:rPr>
        <w:t>tj.</w:t>
      </w:r>
      <w:proofErr w:type="gramEnd"/>
      <w:r w:rsidRPr="00962A96">
        <w:rPr>
          <w:rFonts w:ascii="Arial" w:hAnsi="Arial" w:cs="Arial"/>
          <w:sz w:val="24"/>
        </w:rPr>
        <w:t xml:space="preserve"> místo, kde je naistalován měřič spotřeby tepla.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1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Zúčtovacím topným obdobím je doba </w:t>
      </w:r>
      <w:r>
        <w:rPr>
          <w:rFonts w:ascii="Arial" w:hAnsi="Arial" w:cs="Arial"/>
          <w:b/>
          <w:sz w:val="24"/>
          <w:shd w:val="clear" w:color="auto" w:fill="F2F2F2"/>
        </w:rPr>
        <w:t xml:space="preserve">od </w:t>
      </w:r>
      <w:proofErr w:type="gramStart"/>
      <w:r>
        <w:rPr>
          <w:rFonts w:ascii="Arial" w:hAnsi="Arial" w:cs="Arial"/>
          <w:b/>
          <w:sz w:val="24"/>
          <w:shd w:val="clear" w:color="auto" w:fill="F2F2F2"/>
        </w:rPr>
        <w:t>1.1. do</w:t>
      </w:r>
      <w:proofErr w:type="gramEnd"/>
      <w:r>
        <w:rPr>
          <w:rFonts w:ascii="Arial" w:hAnsi="Arial" w:cs="Arial"/>
          <w:b/>
          <w:sz w:val="24"/>
          <w:shd w:val="clear" w:color="auto" w:fill="F2F2F2"/>
        </w:rPr>
        <w:t xml:space="preserve"> 31.12.2025</w:t>
      </w:r>
      <w:r w:rsidRPr="00962A96">
        <w:rPr>
          <w:rFonts w:ascii="Arial" w:hAnsi="Arial" w:cs="Arial"/>
          <w:sz w:val="24"/>
        </w:rPr>
        <w:t>. Topné období začíná 1. září a končí 31. května následujícího roku.</w:t>
      </w: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Čl. II.</w:t>
      </w:r>
    </w:p>
    <w:p w:rsidR="000C2A06" w:rsidRPr="00962A96" w:rsidRDefault="000C2A06" w:rsidP="000C2A06">
      <w:pPr>
        <w:spacing w:before="120" w:after="24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Dodávkové normy</w:t>
      </w:r>
    </w:p>
    <w:p w:rsidR="000C2A06" w:rsidRPr="00962A96" w:rsidRDefault="000C2A06" w:rsidP="000C2A06">
      <w:pPr>
        <w:numPr>
          <w:ilvl w:val="0"/>
          <w:numId w:val="2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Dodávka tepla a TUV se řídí ustanovením § 76 zákona č. 458/2000 Sb., Energetický zákon, v platném znění.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2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Dodávaný tepelný výkon pro vytápění objektu  - 500 kW.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Množství a časový průběh odběru tepla (GJ):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tbl>
      <w:tblPr>
        <w:tblW w:w="9286" w:type="dxa"/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"/>
        <w:gridCol w:w="567"/>
        <w:gridCol w:w="709"/>
        <w:gridCol w:w="708"/>
        <w:gridCol w:w="708"/>
        <w:gridCol w:w="708"/>
        <w:gridCol w:w="926"/>
        <w:gridCol w:w="708"/>
        <w:gridCol w:w="494"/>
        <w:gridCol w:w="708"/>
        <w:gridCol w:w="853"/>
        <w:gridCol w:w="851"/>
      </w:tblGrid>
      <w:tr w:rsidR="000C2A06" w:rsidRPr="00962A96" w:rsidTr="00F32CC5">
        <w:tc>
          <w:tcPr>
            <w:tcW w:w="779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Celkem</w:t>
            </w:r>
          </w:p>
        </w:tc>
        <w:tc>
          <w:tcPr>
            <w:tcW w:w="567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leden</w:t>
            </w:r>
          </w:p>
        </w:tc>
        <w:tc>
          <w:tcPr>
            <w:tcW w:w="567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únor</w:t>
            </w:r>
          </w:p>
        </w:tc>
        <w:tc>
          <w:tcPr>
            <w:tcW w:w="709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</w:t>
            </w:r>
            <w:r w:rsidRPr="004A40C2">
              <w:rPr>
                <w:rFonts w:ascii="Arial" w:hAnsi="Arial" w:cs="Arial"/>
                <w:sz w:val="17"/>
                <w:szCs w:val="17"/>
              </w:rPr>
              <w:t>řezen</w:t>
            </w:r>
          </w:p>
        </w:tc>
        <w:tc>
          <w:tcPr>
            <w:tcW w:w="708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duben</w:t>
            </w:r>
          </w:p>
        </w:tc>
        <w:tc>
          <w:tcPr>
            <w:tcW w:w="708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květen</w:t>
            </w:r>
          </w:p>
        </w:tc>
        <w:tc>
          <w:tcPr>
            <w:tcW w:w="708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č</w:t>
            </w:r>
            <w:r w:rsidRPr="004A40C2">
              <w:rPr>
                <w:rFonts w:ascii="Arial" w:hAnsi="Arial" w:cs="Arial"/>
                <w:sz w:val="17"/>
                <w:szCs w:val="17"/>
              </w:rPr>
              <w:t>erven</w:t>
            </w:r>
          </w:p>
        </w:tc>
        <w:tc>
          <w:tcPr>
            <w:tcW w:w="926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červenec</w:t>
            </w:r>
          </w:p>
        </w:tc>
        <w:tc>
          <w:tcPr>
            <w:tcW w:w="708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srpen</w:t>
            </w:r>
          </w:p>
        </w:tc>
        <w:tc>
          <w:tcPr>
            <w:tcW w:w="494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září</w:t>
            </w:r>
          </w:p>
        </w:tc>
        <w:tc>
          <w:tcPr>
            <w:tcW w:w="708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říjen</w:t>
            </w:r>
          </w:p>
        </w:tc>
        <w:tc>
          <w:tcPr>
            <w:tcW w:w="853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listopad</w:t>
            </w:r>
          </w:p>
        </w:tc>
        <w:tc>
          <w:tcPr>
            <w:tcW w:w="851" w:type="dxa"/>
            <w:shd w:val="clear" w:color="auto" w:fill="F2F2F2"/>
          </w:tcPr>
          <w:p w:rsidR="000C2A06" w:rsidRPr="004A40C2" w:rsidRDefault="000C2A06" w:rsidP="00F32CC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A40C2">
              <w:rPr>
                <w:rFonts w:ascii="Arial" w:hAnsi="Arial" w:cs="Arial"/>
                <w:sz w:val="17"/>
                <w:szCs w:val="17"/>
              </w:rPr>
              <w:t>prosinec</w:t>
            </w:r>
          </w:p>
        </w:tc>
      </w:tr>
      <w:tr w:rsidR="000C2A06" w:rsidRPr="00962A96" w:rsidTr="00F32CC5">
        <w:tc>
          <w:tcPr>
            <w:tcW w:w="779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57</w:t>
            </w:r>
            <w:r w:rsidRPr="00962A9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Pr="00962A9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Pr="00962A9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09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708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962A9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08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 w:rsidRPr="00962A96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708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962A9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926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8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 w:rsidRPr="00962A9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94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Pr="00962A9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08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962A9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53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 w:rsidRPr="00962A96">
              <w:rPr>
                <w:rFonts w:ascii="Arial" w:hAnsi="Arial" w:cs="Arial"/>
                <w:sz w:val="24"/>
              </w:rPr>
              <w:t>7</w:t>
            </w: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51" w:type="dxa"/>
            <w:shd w:val="clear" w:color="auto" w:fill="F2F2F2"/>
          </w:tcPr>
          <w:p w:rsidR="000C2A06" w:rsidRPr="00962A96" w:rsidRDefault="000C2A06" w:rsidP="00F32CC5">
            <w:pPr>
              <w:jc w:val="center"/>
              <w:rPr>
                <w:rFonts w:ascii="Arial" w:hAnsi="Arial" w:cs="Arial"/>
                <w:sz w:val="24"/>
              </w:rPr>
            </w:pPr>
            <w:r w:rsidRPr="00962A96">
              <w:rPr>
                <w:rFonts w:ascii="Arial" w:hAnsi="Arial" w:cs="Arial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2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Dodavatel je oprávněn omezit nebo přerušit dodávku tepla v případě nutných oprav zařízení, při rekonstrukci a v havarijních případech na nezbytně nutnou dobu. Dále </w:t>
      </w:r>
      <w:r>
        <w:rPr>
          <w:rFonts w:ascii="Arial" w:hAnsi="Arial" w:cs="Arial"/>
          <w:sz w:val="24"/>
        </w:rPr>
        <w:t xml:space="preserve">   </w:t>
      </w:r>
      <w:r w:rsidRPr="00962A96">
        <w:rPr>
          <w:rFonts w:ascii="Arial" w:hAnsi="Arial" w:cs="Arial"/>
          <w:sz w:val="24"/>
        </w:rPr>
        <w:t>v případě, že odběratel soustavně neplní povinnosti úhrady za dodávky tepla</w:t>
      </w:r>
      <w:r>
        <w:rPr>
          <w:rFonts w:ascii="Arial" w:hAnsi="Arial" w:cs="Arial"/>
          <w:sz w:val="24"/>
        </w:rPr>
        <w:t xml:space="preserve">        </w:t>
      </w:r>
      <w:r w:rsidRPr="00962A96">
        <w:rPr>
          <w:rFonts w:ascii="Arial" w:hAnsi="Arial" w:cs="Arial"/>
          <w:sz w:val="24"/>
        </w:rPr>
        <w:t xml:space="preserve"> (po dvou písemných </w:t>
      </w:r>
      <w:proofErr w:type="gramStart"/>
      <w:r w:rsidRPr="00962A96">
        <w:rPr>
          <w:rFonts w:ascii="Arial" w:hAnsi="Arial" w:cs="Arial"/>
          <w:sz w:val="24"/>
        </w:rPr>
        <w:t>upomínkách) a nebo na</w:t>
      </w:r>
      <w:proofErr w:type="gramEnd"/>
      <w:r w:rsidRPr="00962A96">
        <w:rPr>
          <w:rFonts w:ascii="Arial" w:hAnsi="Arial" w:cs="Arial"/>
          <w:sz w:val="24"/>
        </w:rPr>
        <w:t xml:space="preserve"> základě pokynů provozovatele topného zdroje.  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2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Letní dodávka teplé užitkové vody se provádí v rámci dohody s </w:t>
      </w:r>
      <w:proofErr w:type="gramStart"/>
      <w:r w:rsidRPr="00962A96">
        <w:rPr>
          <w:rFonts w:ascii="Arial" w:hAnsi="Arial" w:cs="Arial"/>
          <w:sz w:val="24"/>
        </w:rPr>
        <w:t xml:space="preserve">odběratelem </w:t>
      </w:r>
      <w:r w:rsidR="00FC73A6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    </w:t>
      </w:r>
      <w:r w:rsidRPr="00962A96">
        <w:rPr>
          <w:rFonts w:ascii="Arial" w:hAnsi="Arial" w:cs="Arial"/>
          <w:sz w:val="24"/>
        </w:rPr>
        <w:t>z důvodu</w:t>
      </w:r>
      <w:proofErr w:type="gramEnd"/>
      <w:r w:rsidRPr="00962A96">
        <w:rPr>
          <w:rFonts w:ascii="Arial" w:hAnsi="Arial" w:cs="Arial"/>
          <w:sz w:val="24"/>
        </w:rPr>
        <w:t xml:space="preserve"> hlavních prázdnin.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2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Teplota dodávaného teplonosného media </w:t>
      </w:r>
      <w:smartTag w:uri="urn:schemas-microsoft-com:office:smarttags" w:element="metricconverter">
        <w:smartTagPr>
          <w:attr w:name="ProductID" w:val="85ﾰC"/>
        </w:smartTagPr>
        <w:r w:rsidRPr="00962A96">
          <w:rPr>
            <w:rFonts w:ascii="Arial" w:hAnsi="Arial" w:cs="Arial"/>
            <w:sz w:val="24"/>
          </w:rPr>
          <w:t>85°C</w:t>
        </w:r>
      </w:smartTag>
      <w:r w:rsidRPr="00962A96">
        <w:rPr>
          <w:rFonts w:ascii="Arial" w:hAnsi="Arial" w:cs="Arial"/>
          <w:sz w:val="24"/>
        </w:rPr>
        <w:t xml:space="preserve">, teplota vraceného teplonosného media 65°C, teplota dodávané TUV 50°C, tlak v soustavě 0,4 </w:t>
      </w:r>
      <w:proofErr w:type="spellStart"/>
      <w:r w:rsidRPr="00962A96">
        <w:rPr>
          <w:rFonts w:ascii="Arial" w:hAnsi="Arial" w:cs="Arial"/>
          <w:sz w:val="24"/>
        </w:rPr>
        <w:t>MPa</w:t>
      </w:r>
      <w:proofErr w:type="spellEnd"/>
      <w:r w:rsidRPr="00962A96">
        <w:rPr>
          <w:rFonts w:ascii="Arial" w:hAnsi="Arial" w:cs="Arial"/>
          <w:sz w:val="24"/>
        </w:rPr>
        <w:t xml:space="preserve">, tlakový rozdíl 0,05 </w:t>
      </w:r>
      <w:proofErr w:type="spellStart"/>
      <w:r w:rsidRPr="00962A96">
        <w:rPr>
          <w:rFonts w:ascii="Arial" w:hAnsi="Arial" w:cs="Arial"/>
          <w:sz w:val="24"/>
        </w:rPr>
        <w:t>MPa</w:t>
      </w:r>
      <w:proofErr w:type="spellEnd"/>
      <w:r w:rsidRPr="00962A96">
        <w:rPr>
          <w:rFonts w:ascii="Arial" w:hAnsi="Arial" w:cs="Arial"/>
          <w:sz w:val="24"/>
        </w:rPr>
        <w:t xml:space="preserve"> a objemový průtok </w:t>
      </w:r>
      <w:smartTag w:uri="urn:schemas-microsoft-com:office:smarttags" w:element="metricconverter">
        <w:smartTagPr>
          <w:attr w:name="ProductID" w:val="8,5 m3"/>
        </w:smartTagPr>
        <w:r w:rsidRPr="00962A96">
          <w:rPr>
            <w:rFonts w:ascii="Arial" w:hAnsi="Arial" w:cs="Arial"/>
            <w:sz w:val="24"/>
          </w:rPr>
          <w:t>8,5 m</w:t>
        </w:r>
        <w:r w:rsidRPr="004F0FBA">
          <w:rPr>
            <w:rFonts w:ascii="Arial" w:hAnsi="Arial" w:cs="Arial"/>
            <w:sz w:val="24"/>
            <w:vertAlign w:val="superscript"/>
          </w:rPr>
          <w:t>3</w:t>
        </w:r>
      </w:smartTag>
      <w:r w:rsidRPr="00962A96">
        <w:rPr>
          <w:rFonts w:ascii="Arial" w:hAnsi="Arial" w:cs="Arial"/>
          <w:sz w:val="24"/>
        </w:rPr>
        <w:t xml:space="preserve"> za hodinu.</w:t>
      </w: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Čl. III.</w:t>
      </w:r>
    </w:p>
    <w:p w:rsidR="000C2A06" w:rsidRPr="00962A96" w:rsidRDefault="000C2A06" w:rsidP="000C2A06">
      <w:pPr>
        <w:pStyle w:val="Nadpis2"/>
        <w:spacing w:before="120" w:after="240"/>
        <w:jc w:val="center"/>
        <w:rPr>
          <w:rFonts w:ascii="Arial" w:hAnsi="Arial" w:cs="Arial"/>
        </w:rPr>
      </w:pPr>
      <w:r w:rsidRPr="00962A96">
        <w:rPr>
          <w:rFonts w:ascii="Arial" w:hAnsi="Arial" w:cs="Arial"/>
        </w:rPr>
        <w:t>Povinnosti dodavatele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4"/>
        </w:rPr>
      </w:pPr>
      <w:r w:rsidRPr="00962A96">
        <w:rPr>
          <w:rFonts w:ascii="Arial" w:hAnsi="Arial" w:cs="Arial"/>
          <w:b/>
          <w:sz w:val="24"/>
        </w:rPr>
        <w:t>Dodavatel se zavazuje:</w:t>
      </w:r>
    </w:p>
    <w:p w:rsidR="000C2A06" w:rsidRPr="00962A96" w:rsidRDefault="000C2A06" w:rsidP="000C2A06">
      <w:pPr>
        <w:numPr>
          <w:ilvl w:val="1"/>
          <w:numId w:val="2"/>
        </w:numPr>
        <w:spacing w:after="200"/>
        <w:ind w:left="419" w:hanging="357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zajistit plynulou dodávku tepla do objektu odběratele v rozsahu uvedeném v čl. II. této smlouvy. Dodavatel však neodpovídá za případné nedostatky v dodávce tepla, způsobené na rozvodu v objektu odběratele, ani za závady </w:t>
      </w:r>
      <w:proofErr w:type="gramStart"/>
      <w:r w:rsidRPr="00962A96">
        <w:rPr>
          <w:rFonts w:ascii="Arial" w:hAnsi="Arial" w:cs="Arial"/>
          <w:sz w:val="24"/>
        </w:rPr>
        <w:t xml:space="preserve">související </w:t>
      </w:r>
      <w:r>
        <w:rPr>
          <w:rFonts w:ascii="Arial" w:hAnsi="Arial" w:cs="Arial"/>
          <w:sz w:val="24"/>
        </w:rPr>
        <w:t xml:space="preserve">       </w:t>
      </w:r>
      <w:r w:rsidRPr="00962A96">
        <w:rPr>
          <w:rFonts w:ascii="Arial" w:hAnsi="Arial" w:cs="Arial"/>
          <w:sz w:val="24"/>
        </w:rPr>
        <w:t>s mimořádnou</w:t>
      </w:r>
      <w:proofErr w:type="gramEnd"/>
      <w:r w:rsidRPr="00962A96">
        <w:rPr>
          <w:rFonts w:ascii="Arial" w:hAnsi="Arial" w:cs="Arial"/>
          <w:sz w:val="24"/>
        </w:rPr>
        <w:t xml:space="preserve"> tepelnou ztrátou, za niž odběratel odpovídá,</w:t>
      </w:r>
    </w:p>
    <w:p w:rsidR="000C2A06" w:rsidRPr="00962A96" w:rsidRDefault="000C2A06" w:rsidP="000C2A06">
      <w:pPr>
        <w:numPr>
          <w:ilvl w:val="1"/>
          <w:numId w:val="2"/>
        </w:numPr>
        <w:spacing w:after="200"/>
        <w:ind w:left="419" w:hanging="357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hlásit odběrateli přerušení nebo omezení dodávky podle čl. II. odst. 4 </w:t>
      </w:r>
      <w:proofErr w:type="gramStart"/>
      <w:r w:rsidRPr="00962A96">
        <w:rPr>
          <w:rFonts w:ascii="Arial" w:hAnsi="Arial" w:cs="Arial"/>
          <w:sz w:val="24"/>
        </w:rPr>
        <w:t>této</w:t>
      </w:r>
      <w:proofErr w:type="gramEnd"/>
      <w:r w:rsidRPr="00962A96">
        <w:rPr>
          <w:rFonts w:ascii="Arial" w:hAnsi="Arial" w:cs="Arial"/>
          <w:sz w:val="24"/>
        </w:rPr>
        <w:t xml:space="preserve"> smlouvy, </w:t>
      </w:r>
      <w:r w:rsidRPr="00962A96">
        <w:rPr>
          <w:rFonts w:ascii="Arial" w:hAnsi="Arial" w:cs="Arial"/>
          <w:sz w:val="24"/>
        </w:rPr>
        <w:tab/>
      </w:r>
    </w:p>
    <w:p w:rsidR="000C2A06" w:rsidRPr="00962A96" w:rsidRDefault="000C2A06" w:rsidP="000C2A06">
      <w:pPr>
        <w:numPr>
          <w:ilvl w:val="1"/>
          <w:numId w:val="2"/>
        </w:numPr>
        <w:spacing w:after="200"/>
        <w:ind w:left="419" w:hanging="357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zúčtovat dílčí platby (zálohy) a závěrečné vyúčtování celkové přefakturované ceny </w:t>
      </w:r>
      <w:r>
        <w:rPr>
          <w:rFonts w:ascii="Arial" w:hAnsi="Arial" w:cs="Arial"/>
          <w:sz w:val="24"/>
        </w:rPr>
        <w:t>tepelné energie</w:t>
      </w:r>
      <w:r w:rsidRPr="00962A96">
        <w:rPr>
          <w:rFonts w:ascii="Arial" w:hAnsi="Arial" w:cs="Arial"/>
          <w:sz w:val="24"/>
        </w:rPr>
        <w:t xml:space="preserve">, jakož i vystavit potřebné platební doklady řádně, včas a způsobem a ve lhůtách stanovených v čl. VI. odst. 4 </w:t>
      </w:r>
      <w:proofErr w:type="gramStart"/>
      <w:r w:rsidRPr="00962A96">
        <w:rPr>
          <w:rFonts w:ascii="Arial" w:hAnsi="Arial" w:cs="Arial"/>
          <w:sz w:val="24"/>
        </w:rPr>
        <w:t>této</w:t>
      </w:r>
      <w:proofErr w:type="gramEnd"/>
      <w:r w:rsidRPr="00962A96">
        <w:rPr>
          <w:rFonts w:ascii="Arial" w:hAnsi="Arial" w:cs="Arial"/>
          <w:sz w:val="24"/>
        </w:rPr>
        <w:t xml:space="preserve"> smlouvy,</w:t>
      </w:r>
    </w:p>
    <w:p w:rsidR="000C2A06" w:rsidRPr="00962A96" w:rsidRDefault="000C2A06" w:rsidP="000C2A06">
      <w:pPr>
        <w:numPr>
          <w:ilvl w:val="1"/>
          <w:numId w:val="2"/>
        </w:numPr>
        <w:spacing w:after="200"/>
        <w:ind w:left="419" w:hanging="357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vést průkaznou evidenci o nákladech souvisejících s provozem kotelny a umožnit jejich přezkoumání,</w:t>
      </w:r>
    </w:p>
    <w:p w:rsidR="000C2A06" w:rsidRPr="004A40C2" w:rsidRDefault="000C2A06" w:rsidP="000C2A06">
      <w:pPr>
        <w:numPr>
          <w:ilvl w:val="1"/>
          <w:numId w:val="2"/>
        </w:numPr>
        <w:spacing w:after="200"/>
        <w:ind w:left="419" w:hanging="357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oznámit odběratelům přerušení dodávek tepla z důvodu nutných plánovaných oprav na zařízení</w:t>
      </w:r>
      <w:r>
        <w:rPr>
          <w:rFonts w:ascii="Arial" w:hAnsi="Arial" w:cs="Arial"/>
          <w:sz w:val="24"/>
        </w:rPr>
        <w:t xml:space="preserve">, </w:t>
      </w:r>
      <w:r w:rsidRPr="00962A96">
        <w:rPr>
          <w:rFonts w:ascii="Arial" w:hAnsi="Arial" w:cs="Arial"/>
          <w:sz w:val="24"/>
        </w:rPr>
        <w:t>a to nejméně 3 měsíce předem.</w:t>
      </w: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lastRenderedPageBreak/>
        <w:t>Čl. IV.</w:t>
      </w:r>
    </w:p>
    <w:p w:rsidR="000C2A06" w:rsidRPr="00962A96" w:rsidRDefault="000C2A06" w:rsidP="000C2A06">
      <w:pPr>
        <w:spacing w:before="120" w:after="24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Povinnosti odběratele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4"/>
        </w:rPr>
      </w:pPr>
      <w:r w:rsidRPr="00962A96">
        <w:rPr>
          <w:rFonts w:ascii="Arial" w:hAnsi="Arial" w:cs="Arial"/>
          <w:b/>
          <w:sz w:val="24"/>
        </w:rPr>
        <w:t>Odběratel se zavazuje: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sz w:val="28"/>
        </w:rPr>
        <w:tab/>
      </w:r>
      <w:r w:rsidRPr="00962A96">
        <w:rPr>
          <w:rFonts w:ascii="Arial" w:hAnsi="Arial" w:cs="Arial"/>
          <w:sz w:val="28"/>
        </w:rPr>
        <w:tab/>
      </w:r>
      <w:r w:rsidRPr="00962A96">
        <w:rPr>
          <w:rFonts w:ascii="Arial" w:hAnsi="Arial" w:cs="Arial"/>
          <w:sz w:val="28"/>
        </w:rPr>
        <w:tab/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řádně a včas plnit své platební povinnosti podle čl. VI. této smlouvy,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hlásit písemně dodavateli bez zbytečného odkladu veškeré závady v rozvodové síti, na měřícím zařízení, popř. regulaci ve svém objektu, zejména pokud mají vliv na zhospodárnění spotřeby nebo kvalitu odběru, a zajišťovat na své náklady jejich odstranění,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hlásit písemně dodavateli bez zbytečného odkladu závady v dodávce tepla a umožnit dodavateli jejich přešetření, jinak nároky z reklamace zanikají,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dbát pokynů dodavatele směřujících ke zhospodárnění topného systému a sledovat hospodárnost odběru tepla,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hlásit dodavateli, s nejméně jednodenním předstihem zásahy v objektu, které mají vliv na provoz topného systému a rozvodu teplé vody,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uhradit náklady vzniklé s poškozením měřidla neb</w:t>
      </w:r>
      <w:r>
        <w:rPr>
          <w:rFonts w:ascii="Arial" w:hAnsi="Arial" w:cs="Arial"/>
          <w:sz w:val="24"/>
        </w:rPr>
        <w:t>o neodborným zásahem odběratele,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oznámit písemně dodavateli do </w:t>
      </w:r>
      <w:proofErr w:type="gramStart"/>
      <w:r w:rsidRPr="00962A96">
        <w:rPr>
          <w:rFonts w:ascii="Arial" w:hAnsi="Arial" w:cs="Arial"/>
          <w:sz w:val="24"/>
        </w:rPr>
        <w:t>15-ti</w:t>
      </w:r>
      <w:proofErr w:type="gramEnd"/>
      <w:r w:rsidRPr="00962A96">
        <w:rPr>
          <w:rFonts w:ascii="Arial" w:hAnsi="Arial" w:cs="Arial"/>
          <w:sz w:val="24"/>
        </w:rPr>
        <w:t xml:space="preserve"> dnů veškeré změny oproti ustanovení této smlouvy, jež mohou mít vliv na spotřebu a vyúčtování tepla a TUV,</w:t>
      </w:r>
    </w:p>
    <w:p w:rsidR="000C2A06" w:rsidRPr="00962A96" w:rsidRDefault="000C2A06" w:rsidP="000C2A06">
      <w:pPr>
        <w:numPr>
          <w:ilvl w:val="0"/>
          <w:numId w:val="3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umožnit dodavateli přístup k měřícím a ovládacím zařízením.</w:t>
      </w: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Čl. V.</w:t>
      </w:r>
    </w:p>
    <w:p w:rsidR="000C2A06" w:rsidRPr="00962A96" w:rsidRDefault="000C2A06" w:rsidP="000C2A06">
      <w:pPr>
        <w:pStyle w:val="Nadpis1"/>
        <w:spacing w:before="120" w:after="240"/>
        <w:rPr>
          <w:rFonts w:ascii="Arial" w:hAnsi="Arial" w:cs="Arial"/>
        </w:rPr>
      </w:pPr>
      <w:r w:rsidRPr="00962A96">
        <w:rPr>
          <w:rFonts w:ascii="Arial" w:hAnsi="Arial" w:cs="Arial"/>
        </w:rPr>
        <w:t>Měření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ab/>
        <w:t xml:space="preserve">Měření a jeho vyhodnocování bude prováděno podle rozdílu stavů na stupnici měřidla. Spotřebu tepla představuje rozdíl mezi konečným a počátečním stavem. </w:t>
      </w:r>
      <w:r>
        <w:rPr>
          <w:rFonts w:ascii="Arial" w:hAnsi="Arial" w:cs="Arial"/>
          <w:sz w:val="24"/>
        </w:rPr>
        <w:t xml:space="preserve">  </w:t>
      </w:r>
      <w:r w:rsidRPr="00962A96">
        <w:rPr>
          <w:rFonts w:ascii="Arial" w:hAnsi="Arial" w:cs="Arial"/>
          <w:sz w:val="24"/>
        </w:rPr>
        <w:t xml:space="preserve">Je-li instalované měřidlo dočasně vyřazeno z provozu pro poruchu, stanoví se spotřeba podle spotřeby v přibližně stejném období minulého roku s </w:t>
      </w:r>
      <w:proofErr w:type="gramStart"/>
      <w:r w:rsidRPr="00962A96">
        <w:rPr>
          <w:rFonts w:ascii="Arial" w:hAnsi="Arial" w:cs="Arial"/>
          <w:sz w:val="24"/>
        </w:rPr>
        <w:t xml:space="preserve">přihlédnutím </w:t>
      </w:r>
      <w:r>
        <w:rPr>
          <w:rFonts w:ascii="Arial" w:hAnsi="Arial" w:cs="Arial"/>
          <w:sz w:val="24"/>
        </w:rPr>
        <w:t xml:space="preserve">    </w:t>
      </w:r>
      <w:r w:rsidRPr="00962A96">
        <w:rPr>
          <w:rFonts w:ascii="Arial" w:hAnsi="Arial" w:cs="Arial"/>
          <w:sz w:val="24"/>
        </w:rPr>
        <w:t>ke</w:t>
      </w:r>
      <w:proofErr w:type="gramEnd"/>
      <w:r w:rsidRPr="00962A96">
        <w:rPr>
          <w:rFonts w:ascii="Arial" w:hAnsi="Arial" w:cs="Arial"/>
          <w:sz w:val="24"/>
        </w:rPr>
        <w:t xml:space="preserve"> konkrétním klimatickým podmínkám. Dodávka tepla odběrateli se vyhodnocuje způsobem uvedeným výše také v těchto případech: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4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jestliže byla zjištěna manipulace na měřícím zařízení, za kterou dodavatel neodpovídá,</w:t>
      </w:r>
    </w:p>
    <w:p w:rsidR="000C2A06" w:rsidRPr="00962A96" w:rsidRDefault="000C2A06" w:rsidP="000C2A06">
      <w:pPr>
        <w:numPr>
          <w:ilvl w:val="0"/>
          <w:numId w:val="4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zabraňuje-li odběratel v přístupu k </w:t>
      </w:r>
      <w:proofErr w:type="gramStart"/>
      <w:r w:rsidRPr="00962A96">
        <w:rPr>
          <w:rFonts w:ascii="Arial" w:hAnsi="Arial" w:cs="Arial"/>
          <w:sz w:val="24"/>
        </w:rPr>
        <w:t>měřícím</w:t>
      </w:r>
      <w:proofErr w:type="gramEnd"/>
      <w:r w:rsidRPr="00962A96">
        <w:rPr>
          <w:rFonts w:ascii="Arial" w:hAnsi="Arial" w:cs="Arial"/>
          <w:sz w:val="24"/>
        </w:rPr>
        <w:t xml:space="preserve"> přístrojům a tepelným zařízením, takže tím je dodavateli znemožněna kontrola odběru v případě nesrovnatelnosti výše odběru,</w:t>
      </w:r>
    </w:p>
    <w:p w:rsidR="000C2A06" w:rsidRDefault="000C2A06" w:rsidP="000C2A06">
      <w:pPr>
        <w:numPr>
          <w:ilvl w:val="0"/>
          <w:numId w:val="4"/>
        </w:numPr>
        <w:spacing w:after="200"/>
        <w:ind w:left="426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jestliže dodavatel je oprávněn v havarijním přípa</w:t>
      </w:r>
      <w:r>
        <w:rPr>
          <w:rFonts w:ascii="Arial" w:hAnsi="Arial" w:cs="Arial"/>
          <w:sz w:val="24"/>
        </w:rPr>
        <w:t xml:space="preserve">dě dodávky </w:t>
      </w:r>
      <w:proofErr w:type="gramStart"/>
      <w:r>
        <w:rPr>
          <w:rFonts w:ascii="Arial" w:hAnsi="Arial" w:cs="Arial"/>
          <w:sz w:val="24"/>
        </w:rPr>
        <w:t>přerušit</w:t>
      </w:r>
      <w:r w:rsidR="00FC73A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  nepřeruší</w:t>
      </w:r>
      <w:proofErr w:type="gramEnd"/>
      <w:r>
        <w:rPr>
          <w:rFonts w:ascii="Arial" w:hAnsi="Arial" w:cs="Arial"/>
          <w:sz w:val="24"/>
        </w:rPr>
        <w:t>-</w:t>
      </w:r>
      <w:r w:rsidRPr="00962A96">
        <w:rPr>
          <w:rFonts w:ascii="Arial" w:hAnsi="Arial" w:cs="Arial"/>
          <w:sz w:val="24"/>
        </w:rPr>
        <w:t>li ji na žádost odběratele.</w:t>
      </w:r>
      <w:r w:rsidRPr="00962A96">
        <w:rPr>
          <w:rFonts w:ascii="Arial" w:hAnsi="Arial" w:cs="Arial"/>
          <w:sz w:val="24"/>
        </w:rPr>
        <w:tab/>
      </w:r>
    </w:p>
    <w:p w:rsidR="000C2A06" w:rsidRDefault="000C2A06" w:rsidP="000C2A06">
      <w:pPr>
        <w:spacing w:after="200"/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spacing w:after="200"/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lastRenderedPageBreak/>
        <w:t>Čl. VI.</w:t>
      </w:r>
    </w:p>
    <w:p w:rsidR="000C2A06" w:rsidRPr="00962A96" w:rsidRDefault="000C2A06" w:rsidP="000C2A06">
      <w:pPr>
        <w:spacing w:before="120" w:after="24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Kalkulace ceny, fakturace, placení</w:t>
      </w:r>
      <w:r w:rsidRPr="00962A96">
        <w:rPr>
          <w:rFonts w:ascii="Arial" w:hAnsi="Arial" w:cs="Arial"/>
          <w:b/>
          <w:sz w:val="28"/>
        </w:rPr>
        <w:tab/>
      </w:r>
    </w:p>
    <w:p w:rsidR="000C2A06" w:rsidRPr="00962A96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Cena tepelné energie je </w:t>
      </w:r>
      <w:proofErr w:type="gramStart"/>
      <w:r w:rsidRPr="00962A96">
        <w:rPr>
          <w:rFonts w:ascii="Arial" w:hAnsi="Arial" w:cs="Arial"/>
          <w:sz w:val="24"/>
        </w:rPr>
        <w:t>kalkulována  a sjednána</w:t>
      </w:r>
      <w:proofErr w:type="gramEnd"/>
      <w:r w:rsidRPr="00962A96">
        <w:rPr>
          <w:rFonts w:ascii="Arial" w:hAnsi="Arial" w:cs="Arial"/>
          <w:sz w:val="24"/>
        </w:rPr>
        <w:t xml:space="preserve"> v souladu se zákonem č.526/1990 Sb., o cenách, v platném znění.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Kalkulovaná cena tepelné energie bez DPH činí od </w:t>
      </w:r>
      <w:proofErr w:type="gramStart"/>
      <w:r>
        <w:rPr>
          <w:rFonts w:ascii="Arial" w:hAnsi="Arial" w:cs="Arial"/>
          <w:sz w:val="24"/>
          <w:shd w:val="clear" w:color="auto" w:fill="F2F2F2"/>
        </w:rPr>
        <w:t>1.1.2025</w:t>
      </w:r>
      <w:proofErr w:type="gramEnd"/>
      <w:r w:rsidRPr="00962A96">
        <w:rPr>
          <w:rFonts w:ascii="Arial" w:hAnsi="Arial" w:cs="Arial"/>
          <w:sz w:val="24"/>
        </w:rPr>
        <w:t xml:space="preserve">. 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tbl>
      <w:tblPr>
        <w:tblW w:w="8462" w:type="dxa"/>
        <w:tblInd w:w="8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2"/>
        <w:gridCol w:w="2004"/>
        <w:gridCol w:w="1276"/>
      </w:tblGrid>
      <w:tr w:rsidR="000C2A06" w:rsidRPr="007A5371" w:rsidTr="00F32CC5">
        <w:trPr>
          <w:cantSplit/>
          <w:trHeight w:val="360"/>
        </w:trPr>
        <w:tc>
          <w:tcPr>
            <w:tcW w:w="5182" w:type="dxa"/>
          </w:tcPr>
          <w:p w:rsidR="000C2A06" w:rsidRPr="007A5371" w:rsidRDefault="000C2A06" w:rsidP="00F32CC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>přímé náklady na výrobu tepla a TUV</w:t>
            </w:r>
          </w:p>
        </w:tc>
        <w:tc>
          <w:tcPr>
            <w:tcW w:w="2004" w:type="dxa"/>
            <w:shd w:val="clear" w:color="auto" w:fill="F2F2F2"/>
          </w:tcPr>
          <w:p w:rsidR="000C2A06" w:rsidRPr="007A5371" w:rsidRDefault="000C2A06" w:rsidP="00F32CC5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791,22</w:t>
            </w:r>
          </w:p>
        </w:tc>
        <w:tc>
          <w:tcPr>
            <w:tcW w:w="1276" w:type="dxa"/>
          </w:tcPr>
          <w:p w:rsidR="000C2A06" w:rsidRPr="007A5371" w:rsidRDefault="000C2A06" w:rsidP="00F32CC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 xml:space="preserve"> Kč / GJ</w:t>
            </w:r>
          </w:p>
        </w:tc>
      </w:tr>
      <w:tr w:rsidR="000C2A06" w:rsidRPr="007A5371" w:rsidTr="00F32CC5">
        <w:trPr>
          <w:cantSplit/>
          <w:trHeight w:val="360"/>
        </w:trPr>
        <w:tc>
          <w:tcPr>
            <w:tcW w:w="5182" w:type="dxa"/>
          </w:tcPr>
          <w:p w:rsidR="000C2A06" w:rsidRPr="007A5371" w:rsidRDefault="000C2A06" w:rsidP="00F32CC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>přímé mzdové náklady</w:t>
            </w:r>
          </w:p>
        </w:tc>
        <w:tc>
          <w:tcPr>
            <w:tcW w:w="2004" w:type="dxa"/>
            <w:shd w:val="clear" w:color="auto" w:fill="F2F2F2"/>
          </w:tcPr>
          <w:p w:rsidR="000C2A06" w:rsidRPr="007A5371" w:rsidRDefault="000C2A06" w:rsidP="00F32CC5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108,32</w:t>
            </w:r>
          </w:p>
        </w:tc>
        <w:tc>
          <w:tcPr>
            <w:tcW w:w="1276" w:type="dxa"/>
          </w:tcPr>
          <w:p w:rsidR="000C2A06" w:rsidRPr="007A5371" w:rsidRDefault="000C2A06" w:rsidP="00F32CC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 xml:space="preserve"> Kč / GJ</w:t>
            </w:r>
          </w:p>
        </w:tc>
      </w:tr>
      <w:tr w:rsidR="000C2A06" w:rsidRPr="007A5371" w:rsidTr="00F32CC5">
        <w:trPr>
          <w:cantSplit/>
          <w:trHeight w:val="360"/>
        </w:trPr>
        <w:tc>
          <w:tcPr>
            <w:tcW w:w="5182" w:type="dxa"/>
          </w:tcPr>
          <w:p w:rsidR="000C2A06" w:rsidRPr="007A5371" w:rsidRDefault="000C2A06" w:rsidP="00F32CC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>odvody z mezd</w:t>
            </w:r>
          </w:p>
        </w:tc>
        <w:tc>
          <w:tcPr>
            <w:tcW w:w="2004" w:type="dxa"/>
            <w:shd w:val="clear" w:color="auto" w:fill="F2F2F2"/>
          </w:tcPr>
          <w:p w:rsidR="000C2A06" w:rsidRPr="007A5371" w:rsidRDefault="000C2A06" w:rsidP="00F32CC5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>7,69</w:t>
            </w:r>
          </w:p>
        </w:tc>
        <w:tc>
          <w:tcPr>
            <w:tcW w:w="1276" w:type="dxa"/>
          </w:tcPr>
          <w:p w:rsidR="000C2A06" w:rsidRPr="007A5371" w:rsidRDefault="000C2A06" w:rsidP="00F32CC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A5371">
              <w:rPr>
                <w:rFonts w:ascii="Arial" w:hAnsi="Arial" w:cs="Arial"/>
                <w:b/>
                <w:sz w:val="24"/>
              </w:rPr>
              <w:t xml:space="preserve"> Kč / GJ</w:t>
            </w:r>
          </w:p>
        </w:tc>
      </w:tr>
    </w:tbl>
    <w:p w:rsidR="000C2A06" w:rsidRDefault="000C2A06" w:rsidP="000C2A06">
      <w:pPr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Jedná se o cenu předběžnou. V případě změny cen nakupovaného paliva, či změny dalších nákladů s výrobou tepla souvisejících, budou rozdíly v cenách zúčtovány v rámci závěrečného vyúčtování.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Takto určenou cenu oznámí dodavatel odběrateli na počátku zúčtovacího topného období. </w:t>
      </w:r>
      <w:r w:rsidRPr="00962A96">
        <w:rPr>
          <w:rFonts w:ascii="Arial" w:hAnsi="Arial" w:cs="Arial"/>
          <w:sz w:val="24"/>
        </w:rPr>
        <w:tab/>
      </w:r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791D76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791D76">
        <w:rPr>
          <w:rFonts w:ascii="Arial" w:hAnsi="Arial" w:cs="Arial"/>
          <w:sz w:val="24"/>
        </w:rPr>
        <w:t xml:space="preserve">Za dodávku tepla a teplé užitkové vody bude dodavatel za 1. </w:t>
      </w:r>
      <w:proofErr w:type="gramStart"/>
      <w:r w:rsidRPr="00791D76">
        <w:rPr>
          <w:rFonts w:ascii="Arial" w:hAnsi="Arial" w:cs="Arial"/>
          <w:sz w:val="24"/>
        </w:rPr>
        <w:t>až 3.čtvrtletí</w:t>
      </w:r>
      <w:proofErr w:type="gramEnd"/>
      <w:r w:rsidRPr="00791D76">
        <w:rPr>
          <w:rFonts w:ascii="Arial" w:hAnsi="Arial" w:cs="Arial"/>
          <w:sz w:val="24"/>
        </w:rPr>
        <w:t xml:space="preserve"> fakturovat odběrateli zálohy za přímé náklady na výrobu tepla a TUV. Výše fakturované částky zálohy je stanovena jako součin ¼ průměrné skutečné spotřeby za </w:t>
      </w:r>
      <w:proofErr w:type="gramStart"/>
      <w:r w:rsidRPr="00791D76">
        <w:rPr>
          <w:rFonts w:ascii="Arial" w:hAnsi="Arial" w:cs="Arial"/>
          <w:sz w:val="24"/>
        </w:rPr>
        <w:t xml:space="preserve">předchozí    </w:t>
      </w:r>
      <w:r w:rsidR="00FC73A6">
        <w:rPr>
          <w:rFonts w:ascii="Arial" w:hAnsi="Arial" w:cs="Arial"/>
          <w:sz w:val="24"/>
        </w:rPr>
        <w:t xml:space="preserve"> </w:t>
      </w:r>
      <w:r w:rsidRPr="00791D76">
        <w:rPr>
          <w:rFonts w:ascii="Arial" w:hAnsi="Arial" w:cs="Arial"/>
          <w:sz w:val="24"/>
        </w:rPr>
        <w:t xml:space="preserve">       3 kalendářní</w:t>
      </w:r>
      <w:proofErr w:type="gramEnd"/>
      <w:r w:rsidRPr="00791D76">
        <w:rPr>
          <w:rFonts w:ascii="Arial" w:hAnsi="Arial" w:cs="Arial"/>
          <w:sz w:val="24"/>
        </w:rPr>
        <w:t xml:space="preserve"> roky a kalkulovaných přímých nákladů na výrobu tepla a TUV dle bodu č. 1 tohoto článku. Zálohová faktura bude vystavena dodavatelem vždy do 10. dne měsíce následujícího po konci příslušného čtvrtletí. </w:t>
      </w:r>
    </w:p>
    <w:p w:rsidR="000C2A06" w:rsidRPr="007A5371" w:rsidRDefault="000C2A06" w:rsidP="000C2A06">
      <w:pPr>
        <w:pStyle w:val="Odstavecseseznamem"/>
        <w:rPr>
          <w:rFonts w:ascii="Arial" w:hAnsi="Arial" w:cs="Arial"/>
          <w:sz w:val="24"/>
        </w:rPr>
      </w:pPr>
    </w:p>
    <w:p w:rsidR="000C2A06" w:rsidRPr="009266CC" w:rsidRDefault="000C2A06" w:rsidP="000C2A06">
      <w:pPr>
        <w:jc w:val="both"/>
        <w:rPr>
          <w:rFonts w:ascii="Arial" w:hAnsi="Arial" w:cs="Arial"/>
          <w:sz w:val="24"/>
        </w:rPr>
      </w:pPr>
      <w:r w:rsidRPr="007A5371">
        <w:rPr>
          <w:rFonts w:ascii="Arial" w:hAnsi="Arial" w:cs="Arial"/>
          <w:b/>
          <w:sz w:val="24"/>
        </w:rPr>
        <w:t xml:space="preserve">Čtvrtletní záloha pro rok </w:t>
      </w:r>
      <w:r w:rsidRPr="007A5371">
        <w:rPr>
          <w:rFonts w:ascii="Arial" w:hAnsi="Arial" w:cs="Arial"/>
          <w:b/>
          <w:sz w:val="24"/>
          <w:shd w:val="clear" w:color="auto" w:fill="F2F2F2"/>
        </w:rPr>
        <w:t>202</w:t>
      </w:r>
      <w:r>
        <w:rPr>
          <w:rFonts w:ascii="Arial" w:hAnsi="Arial" w:cs="Arial"/>
          <w:b/>
          <w:sz w:val="24"/>
          <w:shd w:val="clear" w:color="auto" w:fill="F2F2F2"/>
        </w:rPr>
        <w:t>5</w:t>
      </w:r>
      <w:r w:rsidRPr="007A5371">
        <w:rPr>
          <w:rFonts w:ascii="Arial" w:hAnsi="Arial" w:cs="Arial"/>
          <w:sz w:val="24"/>
        </w:rPr>
        <w:t xml:space="preserve"> je stanovena ve výši</w:t>
      </w:r>
      <w:r w:rsidRPr="007A5371">
        <w:rPr>
          <w:rFonts w:ascii="Arial" w:hAnsi="Arial" w:cs="Arial"/>
          <w:b/>
          <w:sz w:val="24"/>
        </w:rPr>
        <w:t xml:space="preserve"> </w:t>
      </w:r>
      <w:r w:rsidRPr="007A5371">
        <w:rPr>
          <w:rFonts w:ascii="Arial" w:hAnsi="Arial" w:cs="Arial"/>
          <w:b/>
          <w:sz w:val="24"/>
          <w:shd w:val="clear" w:color="auto" w:fill="F2F2F2"/>
        </w:rPr>
        <w:t>1</w:t>
      </w:r>
      <w:r>
        <w:rPr>
          <w:rFonts w:ascii="Arial" w:hAnsi="Arial" w:cs="Arial"/>
          <w:b/>
          <w:sz w:val="24"/>
          <w:shd w:val="clear" w:color="auto" w:fill="F2F2F2"/>
        </w:rPr>
        <w:t>2</w:t>
      </w:r>
      <w:r w:rsidRPr="007A5371">
        <w:rPr>
          <w:rFonts w:ascii="Arial" w:hAnsi="Arial" w:cs="Arial"/>
          <w:b/>
          <w:sz w:val="24"/>
          <w:shd w:val="clear" w:color="auto" w:fill="F2F2F2"/>
        </w:rPr>
        <w:t>0 000,-</w:t>
      </w:r>
      <w:r w:rsidRPr="007A5371">
        <w:rPr>
          <w:rFonts w:ascii="Arial" w:hAnsi="Arial" w:cs="Arial"/>
          <w:b/>
          <w:sz w:val="24"/>
        </w:rPr>
        <w:t xml:space="preserve"> Kč</w:t>
      </w:r>
      <w:r w:rsidRPr="009266CC">
        <w:rPr>
          <w:rFonts w:ascii="Arial" w:hAnsi="Arial" w:cs="Arial"/>
          <w:b/>
          <w:sz w:val="24"/>
        </w:rPr>
        <w:t xml:space="preserve"> bez DPH.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D65AAC">
        <w:rPr>
          <w:rFonts w:ascii="Arial" w:hAnsi="Arial" w:cs="Arial"/>
          <w:sz w:val="24"/>
        </w:rPr>
        <w:t xml:space="preserve">Vyúčtování spotřeby tepla a teplé užitkové vody za období sjednané ve smlouvě bude provedeno do </w:t>
      </w:r>
      <w:r>
        <w:rPr>
          <w:rFonts w:ascii="Arial" w:hAnsi="Arial" w:cs="Arial"/>
          <w:sz w:val="24"/>
        </w:rPr>
        <w:t>20.</w:t>
      </w:r>
      <w:r w:rsidRPr="00D65AAC">
        <w:rPr>
          <w:rFonts w:ascii="Arial" w:hAnsi="Arial" w:cs="Arial"/>
          <w:sz w:val="24"/>
        </w:rPr>
        <w:t xml:space="preserve"> ledna následujícího roku. Výše </w:t>
      </w:r>
      <w:proofErr w:type="spellStart"/>
      <w:r w:rsidRPr="00D65AAC">
        <w:rPr>
          <w:rFonts w:ascii="Arial" w:hAnsi="Arial" w:cs="Arial"/>
          <w:sz w:val="24"/>
        </w:rPr>
        <w:t>přefakturovávané</w:t>
      </w:r>
      <w:proofErr w:type="spellEnd"/>
      <w:r w:rsidRPr="00D65AAC">
        <w:rPr>
          <w:rFonts w:ascii="Arial" w:hAnsi="Arial" w:cs="Arial"/>
          <w:sz w:val="24"/>
        </w:rPr>
        <w:t xml:space="preserve"> </w:t>
      </w:r>
      <w:proofErr w:type="gramStart"/>
      <w:r w:rsidRPr="00D65AAC">
        <w:rPr>
          <w:rFonts w:ascii="Arial" w:hAnsi="Arial" w:cs="Arial"/>
          <w:sz w:val="24"/>
        </w:rPr>
        <w:t>částky</w:t>
      </w:r>
      <w:r w:rsidR="00FC73A6">
        <w:rPr>
          <w:rFonts w:ascii="Arial" w:hAnsi="Arial" w:cs="Arial"/>
          <w:sz w:val="24"/>
        </w:rPr>
        <w:t xml:space="preserve">  </w:t>
      </w:r>
      <w:r w:rsidRPr="00D65A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</w:t>
      </w:r>
      <w:r w:rsidRPr="00D65AAC">
        <w:rPr>
          <w:rFonts w:ascii="Arial" w:hAnsi="Arial" w:cs="Arial"/>
          <w:sz w:val="24"/>
        </w:rPr>
        <w:t>za</w:t>
      </w:r>
      <w:proofErr w:type="gramEnd"/>
      <w:r w:rsidRPr="00D65AAC">
        <w:rPr>
          <w:rFonts w:ascii="Arial" w:hAnsi="Arial" w:cs="Arial"/>
          <w:sz w:val="24"/>
        </w:rPr>
        <w:t xml:space="preserve"> 4. čtvrtletí bude stanovena jako rozdíl celkových ročních přímých nákladů </w:t>
      </w:r>
      <w:r>
        <w:rPr>
          <w:rFonts w:ascii="Arial" w:hAnsi="Arial" w:cs="Arial"/>
          <w:sz w:val="24"/>
        </w:rPr>
        <w:t xml:space="preserve"> </w:t>
      </w:r>
      <w:r w:rsidR="00FC73A6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     </w:t>
      </w:r>
      <w:r w:rsidRPr="00D65AAC">
        <w:rPr>
          <w:rFonts w:ascii="Arial" w:hAnsi="Arial" w:cs="Arial"/>
          <w:sz w:val="24"/>
        </w:rPr>
        <w:t>na výrobu tepla a součtu částek ze zálohových faktur za 1. až 3. čtvrtletí příslušného roku. Celkové roční přímé náklady na výrobu tepla budou stanoveny jako součin skutečně naměřených spotřeb za celý rok a skutečných přímých nákladů na výrobu tepla a TUV dle účetní evidence v příslušném roce.</w:t>
      </w:r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D65AAC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D65AAC">
        <w:rPr>
          <w:rFonts w:ascii="Arial" w:hAnsi="Arial" w:cs="Arial"/>
          <w:sz w:val="24"/>
        </w:rPr>
        <w:t xml:space="preserve">Nezaplatí-li odběratel </w:t>
      </w:r>
      <w:proofErr w:type="spellStart"/>
      <w:r w:rsidRPr="00D65AAC">
        <w:rPr>
          <w:rFonts w:ascii="Arial" w:hAnsi="Arial" w:cs="Arial"/>
          <w:sz w:val="24"/>
        </w:rPr>
        <w:t>přefakturovávanou</w:t>
      </w:r>
      <w:proofErr w:type="spellEnd"/>
      <w:r w:rsidRPr="00D65AAC">
        <w:rPr>
          <w:rFonts w:ascii="Arial" w:hAnsi="Arial" w:cs="Arial"/>
          <w:sz w:val="24"/>
        </w:rPr>
        <w:t xml:space="preserve"> částku do dne její splatnosti, je povinen zaplatit dodavateli úrok z prodlení v souladu s § </w:t>
      </w:r>
      <w:smartTag w:uri="urn:schemas-microsoft-com:office:smarttags" w:element="metricconverter">
        <w:smartTagPr>
          <w:attr w:name="ProductID" w:val="1968 a"/>
        </w:smartTagPr>
        <w:r w:rsidRPr="00D65AAC">
          <w:rPr>
            <w:rFonts w:ascii="Arial" w:hAnsi="Arial" w:cs="Arial"/>
            <w:sz w:val="24"/>
          </w:rPr>
          <w:t>1968 a</w:t>
        </w:r>
      </w:smartTag>
      <w:r w:rsidRPr="00D65AAC">
        <w:rPr>
          <w:rFonts w:ascii="Arial" w:hAnsi="Arial" w:cs="Arial"/>
          <w:sz w:val="24"/>
        </w:rPr>
        <w:t xml:space="preserve"> následujících </w:t>
      </w:r>
      <w:proofErr w:type="gramStart"/>
      <w:r w:rsidRPr="00D65AAC">
        <w:rPr>
          <w:rFonts w:ascii="Arial" w:hAnsi="Arial" w:cs="Arial"/>
          <w:sz w:val="24"/>
        </w:rPr>
        <w:t>zákona</w:t>
      </w:r>
      <w:r>
        <w:rPr>
          <w:rFonts w:ascii="Arial" w:hAnsi="Arial" w:cs="Arial"/>
          <w:sz w:val="24"/>
        </w:rPr>
        <w:t xml:space="preserve">          </w:t>
      </w:r>
      <w:r w:rsidRPr="00D65AAC">
        <w:rPr>
          <w:rFonts w:ascii="Arial" w:hAnsi="Arial" w:cs="Arial"/>
          <w:sz w:val="24"/>
        </w:rPr>
        <w:t xml:space="preserve"> č.</w:t>
      </w:r>
      <w:proofErr w:type="gramEnd"/>
      <w:r w:rsidRPr="00D65AAC">
        <w:rPr>
          <w:rFonts w:ascii="Arial" w:hAnsi="Arial" w:cs="Arial"/>
          <w:sz w:val="24"/>
        </w:rPr>
        <w:t xml:space="preserve"> 89/2012, Sb., Občanský zákoník v platném znění. Úrok z prodlení je </w:t>
      </w:r>
      <w:proofErr w:type="gramStart"/>
      <w:r w:rsidRPr="00D65AAC">
        <w:rPr>
          <w:rFonts w:ascii="Arial" w:hAnsi="Arial" w:cs="Arial"/>
          <w:sz w:val="24"/>
        </w:rPr>
        <w:t xml:space="preserve">stanoven </w:t>
      </w:r>
      <w:r>
        <w:rPr>
          <w:rFonts w:ascii="Arial" w:hAnsi="Arial" w:cs="Arial"/>
          <w:sz w:val="24"/>
        </w:rPr>
        <w:t xml:space="preserve">       v</w:t>
      </w:r>
      <w:r w:rsidRPr="00D65AAC">
        <w:rPr>
          <w:rFonts w:ascii="Arial" w:hAnsi="Arial" w:cs="Arial"/>
          <w:sz w:val="24"/>
        </w:rPr>
        <w:t>e</w:t>
      </w:r>
      <w:proofErr w:type="gramEnd"/>
      <w:r w:rsidRPr="00D65AAC">
        <w:rPr>
          <w:rFonts w:ascii="Arial" w:hAnsi="Arial" w:cs="Arial"/>
          <w:sz w:val="24"/>
        </w:rPr>
        <w:t xml:space="preserve"> výši 0,03% z dlužné částky za každý den prodlení až do úplného splacení dlužné částky. Úrok z prodlení nenahrazuje právo dodavatele na náhradu fakturované částky dle této smlouvy v plné výši.</w:t>
      </w:r>
      <w:r w:rsidRPr="00D65AAC" w:rsidDel="00E77E87">
        <w:rPr>
          <w:rFonts w:ascii="Arial" w:hAnsi="Arial" w:cs="Arial"/>
          <w:sz w:val="24"/>
        </w:rPr>
        <w:t xml:space="preserve"> </w:t>
      </w:r>
    </w:p>
    <w:p w:rsidR="000C2A06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Nevrátí-li dodavatel přeplatek z vyúčtování do dne jeho splatnosti, je povinen zaplatit odběrateli úrok z prodlení dle ustanovení předchozího bodu této smlouvy.</w:t>
      </w:r>
      <w:r w:rsidRPr="00962A96" w:rsidDel="0084194F">
        <w:rPr>
          <w:rFonts w:ascii="Arial" w:hAnsi="Arial" w:cs="Arial"/>
          <w:sz w:val="24"/>
        </w:rPr>
        <w:t xml:space="preserve"> 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Cenu za dodávky </w:t>
      </w:r>
      <w:r>
        <w:rPr>
          <w:rFonts w:ascii="Arial" w:hAnsi="Arial" w:cs="Arial"/>
          <w:sz w:val="24"/>
        </w:rPr>
        <w:t>tepelné energie</w:t>
      </w:r>
      <w:r w:rsidRPr="00962A96">
        <w:rPr>
          <w:rFonts w:ascii="Arial" w:hAnsi="Arial" w:cs="Arial"/>
          <w:sz w:val="24"/>
        </w:rPr>
        <w:t xml:space="preserve"> dle této smlouvy uhradí odběratel dle </w:t>
      </w:r>
      <w:proofErr w:type="gramStart"/>
      <w:r w:rsidRPr="00962A96">
        <w:rPr>
          <w:rFonts w:ascii="Arial" w:hAnsi="Arial" w:cs="Arial"/>
          <w:sz w:val="24"/>
        </w:rPr>
        <w:t xml:space="preserve">pokynů </w:t>
      </w:r>
      <w:r>
        <w:rPr>
          <w:rFonts w:ascii="Arial" w:hAnsi="Arial" w:cs="Arial"/>
          <w:sz w:val="24"/>
        </w:rPr>
        <w:t xml:space="preserve">      </w:t>
      </w:r>
      <w:r w:rsidRPr="00962A96">
        <w:rPr>
          <w:rFonts w:ascii="Arial" w:hAnsi="Arial" w:cs="Arial"/>
          <w:sz w:val="24"/>
        </w:rPr>
        <w:t>na</w:t>
      </w:r>
      <w:proofErr w:type="gramEnd"/>
      <w:r w:rsidRPr="00962A96">
        <w:rPr>
          <w:rFonts w:ascii="Arial" w:hAnsi="Arial" w:cs="Arial"/>
          <w:sz w:val="24"/>
        </w:rPr>
        <w:t xml:space="preserve"> příslušných fakturách, zaslaných dodavatelem (vč. uvedeného čísla bankovního účtu dodavatele). Variabilním symbolem je číslo příslušné faktury.</w:t>
      </w:r>
    </w:p>
    <w:p w:rsidR="000C2A06" w:rsidRDefault="000C2A06" w:rsidP="000C2A06">
      <w:pPr>
        <w:jc w:val="both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b/>
          <w:sz w:val="28"/>
        </w:rPr>
        <w:tab/>
      </w:r>
      <w:r w:rsidRPr="00962A96">
        <w:rPr>
          <w:rFonts w:ascii="Arial" w:hAnsi="Arial" w:cs="Arial"/>
          <w:b/>
          <w:sz w:val="28"/>
        </w:rPr>
        <w:tab/>
      </w:r>
      <w:r w:rsidRPr="00962A96">
        <w:rPr>
          <w:rFonts w:ascii="Arial" w:hAnsi="Arial" w:cs="Arial"/>
          <w:b/>
          <w:sz w:val="28"/>
        </w:rPr>
        <w:tab/>
      </w:r>
    </w:p>
    <w:p w:rsidR="000C2A06" w:rsidRPr="00962A96" w:rsidRDefault="000C2A06" w:rsidP="000C2A06">
      <w:pPr>
        <w:spacing w:before="240" w:after="12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Čl. VII.</w:t>
      </w:r>
    </w:p>
    <w:p w:rsidR="000C2A06" w:rsidRPr="00962A96" w:rsidRDefault="000C2A06" w:rsidP="000C2A06">
      <w:pPr>
        <w:spacing w:before="120" w:after="240"/>
        <w:jc w:val="center"/>
        <w:rPr>
          <w:rFonts w:ascii="Arial" w:hAnsi="Arial" w:cs="Arial"/>
          <w:b/>
          <w:sz w:val="28"/>
        </w:rPr>
      </w:pPr>
      <w:r w:rsidRPr="00962A96">
        <w:rPr>
          <w:rFonts w:ascii="Arial" w:hAnsi="Arial" w:cs="Arial"/>
          <w:b/>
          <w:sz w:val="28"/>
        </w:rPr>
        <w:t>Závěrečná ustanovení</w:t>
      </w:r>
    </w:p>
    <w:p w:rsidR="000C2A06" w:rsidRPr="00962A96" w:rsidRDefault="000C2A06" w:rsidP="000C2A06">
      <w:pPr>
        <w:jc w:val="both"/>
        <w:rPr>
          <w:rFonts w:ascii="Arial" w:hAnsi="Arial" w:cs="Arial"/>
          <w:b/>
          <w:sz w:val="28"/>
        </w:rPr>
      </w:pPr>
    </w:p>
    <w:p w:rsidR="000C2A0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Tato kupní smlouva nabývá účinnosti dnem</w:t>
      </w:r>
      <w:r>
        <w:rPr>
          <w:rFonts w:ascii="Arial" w:hAnsi="Arial" w:cs="Arial"/>
          <w:sz w:val="24"/>
        </w:rPr>
        <w:t xml:space="preserve"> </w:t>
      </w:r>
      <w:r w:rsidRPr="00C83648">
        <w:rPr>
          <w:rFonts w:ascii="Arial" w:hAnsi="Arial" w:cs="Arial"/>
          <w:sz w:val="24"/>
        </w:rPr>
        <w:t xml:space="preserve">jejího uveřejnění v Registru smluv (povinnost uveřejnění smlouvy v Registru smluv nese </w:t>
      </w:r>
      <w:r>
        <w:rPr>
          <w:rFonts w:ascii="Arial" w:hAnsi="Arial" w:cs="Arial"/>
          <w:sz w:val="24"/>
        </w:rPr>
        <w:t>prodávající</w:t>
      </w:r>
      <w:r w:rsidRPr="00C8364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</w:t>
      </w:r>
      <w:r w:rsidRPr="00CC40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Smluvní strany prohlašují, že smlouva neobsahuje žádné obchodní tajemství.</w:t>
      </w:r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8872CD">
        <w:rPr>
          <w:rFonts w:ascii="Arial" w:hAnsi="Arial" w:cs="Arial"/>
          <w:sz w:val="24"/>
        </w:rPr>
        <w:t>Smlouva</w:t>
      </w:r>
      <w:r w:rsidRPr="00962A96">
        <w:rPr>
          <w:rFonts w:ascii="Arial" w:hAnsi="Arial" w:cs="Arial"/>
          <w:sz w:val="24"/>
        </w:rPr>
        <w:t xml:space="preserve"> byla sjednána na dobu do </w:t>
      </w:r>
      <w:r w:rsidRPr="00876322">
        <w:rPr>
          <w:rFonts w:ascii="Arial" w:hAnsi="Arial" w:cs="Arial"/>
          <w:b/>
          <w:sz w:val="24"/>
          <w:shd w:val="clear" w:color="auto" w:fill="F2F2F2"/>
        </w:rPr>
        <w:t>31.</w:t>
      </w:r>
      <w:r>
        <w:rPr>
          <w:rFonts w:ascii="Arial" w:hAnsi="Arial" w:cs="Arial"/>
          <w:b/>
          <w:sz w:val="24"/>
          <w:shd w:val="clear" w:color="auto" w:fill="F2F2F2"/>
        </w:rPr>
        <w:t xml:space="preserve"> </w:t>
      </w:r>
      <w:r w:rsidRPr="00876322">
        <w:rPr>
          <w:rFonts w:ascii="Arial" w:hAnsi="Arial" w:cs="Arial"/>
          <w:b/>
          <w:sz w:val="24"/>
          <w:shd w:val="clear" w:color="auto" w:fill="F2F2F2"/>
        </w:rPr>
        <w:t xml:space="preserve">prosince </w:t>
      </w:r>
      <w:r>
        <w:rPr>
          <w:rFonts w:ascii="Arial" w:hAnsi="Arial" w:cs="Arial"/>
          <w:b/>
          <w:sz w:val="24"/>
          <w:shd w:val="clear" w:color="auto" w:fill="F2F2F2"/>
        </w:rPr>
        <w:t>2025</w:t>
      </w:r>
      <w:r w:rsidRPr="00962A96">
        <w:rPr>
          <w:rFonts w:ascii="Arial" w:hAnsi="Arial" w:cs="Arial"/>
          <w:sz w:val="24"/>
        </w:rPr>
        <w:t xml:space="preserve">. Její platnost může být v průběhu účinnosti zrušena pouze vzájemnou písemnou dohodou smluvních stran. </w:t>
      </w:r>
    </w:p>
    <w:p w:rsidR="000C2A06" w:rsidRPr="00C83648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C83648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C83648">
        <w:rPr>
          <w:rFonts w:ascii="Arial" w:hAnsi="Arial" w:cs="Arial"/>
          <w:sz w:val="24"/>
        </w:rPr>
        <w:t xml:space="preserve">Smluvní strany prohlašují, že se podmínkami této smlouvy na základě vzájemné dohody řídí již ode dne </w:t>
      </w:r>
      <w:r w:rsidRPr="00876322">
        <w:rPr>
          <w:rFonts w:ascii="Arial" w:hAnsi="Arial" w:cs="Arial"/>
          <w:b/>
          <w:sz w:val="24"/>
          <w:shd w:val="clear" w:color="auto" w:fill="F2F2F2"/>
        </w:rPr>
        <w:t>1.</w:t>
      </w:r>
      <w:r>
        <w:rPr>
          <w:rFonts w:ascii="Arial" w:hAnsi="Arial" w:cs="Arial"/>
          <w:b/>
          <w:sz w:val="24"/>
          <w:shd w:val="clear" w:color="auto" w:fill="F2F2F2"/>
        </w:rPr>
        <w:t xml:space="preserve"> </w:t>
      </w:r>
      <w:r w:rsidRPr="00876322">
        <w:rPr>
          <w:rFonts w:ascii="Arial" w:hAnsi="Arial" w:cs="Arial"/>
          <w:b/>
          <w:sz w:val="24"/>
          <w:shd w:val="clear" w:color="auto" w:fill="F2F2F2"/>
        </w:rPr>
        <w:t xml:space="preserve">ledna </w:t>
      </w:r>
      <w:r>
        <w:rPr>
          <w:rFonts w:ascii="Arial" w:hAnsi="Arial" w:cs="Arial"/>
          <w:b/>
          <w:sz w:val="24"/>
          <w:shd w:val="clear" w:color="auto" w:fill="F2F2F2"/>
        </w:rPr>
        <w:t>2025</w:t>
      </w:r>
      <w:r w:rsidRPr="00C83648">
        <w:rPr>
          <w:rFonts w:ascii="Arial" w:hAnsi="Arial" w:cs="Arial"/>
          <w:sz w:val="24"/>
        </w:rPr>
        <w:t xml:space="preserve"> a veškerá svá vzájemná plnění poskytnutá ode dne podpisu této smlouvy do dne nabytí účinnosti této smlouvy považují za plnění poskytnutá podle této smlouvy. 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Pokud tato smlouva nestanoví jinak, platí pro vztahy jí založené příslušná ustanovení občanského zákoníku a zákona č. 458/2000 Sb. v platném </w:t>
      </w:r>
      <w:proofErr w:type="gramStart"/>
      <w:r w:rsidRPr="00962A96">
        <w:rPr>
          <w:rFonts w:ascii="Arial" w:hAnsi="Arial" w:cs="Arial"/>
          <w:sz w:val="24"/>
        </w:rPr>
        <w:t>znění .</w:t>
      </w:r>
      <w:proofErr w:type="gramEnd"/>
    </w:p>
    <w:p w:rsidR="000C2A06" w:rsidRDefault="000C2A06" w:rsidP="000C2A06">
      <w:pPr>
        <w:pStyle w:val="Odstavecseseznamem"/>
        <w:rPr>
          <w:rFonts w:ascii="Arial" w:hAnsi="Arial" w:cs="Arial"/>
          <w:sz w:val="24"/>
        </w:rPr>
      </w:pPr>
    </w:p>
    <w:p w:rsidR="000C2A0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857BDC">
        <w:rPr>
          <w:rFonts w:ascii="Arial" w:hAnsi="Arial" w:cs="Arial"/>
          <w:sz w:val="24"/>
        </w:rPr>
        <w:t>Smluvní strany berou na vědomí, že tato smlouva včetně jejích dodatků bude uveřejněna v registru smluv podle zákona č. 30400/2015 Sb., o zvláštních podmínkách účinnosti některých smluv uveřejňování těchto smluv a o registru smluv (zákon o registru smluv), ve znění pozdějších předpisů.</w:t>
      </w:r>
    </w:p>
    <w:p w:rsidR="000C2A06" w:rsidRDefault="000C2A06" w:rsidP="000C2A06">
      <w:pPr>
        <w:pStyle w:val="Odstavecseseznamem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Tato smlouva byla vyhotovena ve dvou vyhotoveních, z nichž jedno vyhotovení obdrží odběratel a jedno dodavatel.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>Jakékoliv změny v ustanovení této kupní smlouvy mohou být provedeny pouze písemně, formou číslovaných, oboustranně odsouhlasených dodatků k této smlouvě.</w:t>
      </w:r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numPr>
          <w:ilvl w:val="0"/>
          <w:numId w:val="6"/>
        </w:numPr>
        <w:ind w:left="0"/>
        <w:jc w:val="both"/>
        <w:rPr>
          <w:rFonts w:ascii="Arial" w:hAnsi="Arial" w:cs="Arial"/>
          <w:sz w:val="24"/>
        </w:rPr>
      </w:pPr>
      <w:r w:rsidRPr="00962A96">
        <w:rPr>
          <w:rFonts w:ascii="Arial" w:hAnsi="Arial" w:cs="Arial"/>
          <w:sz w:val="24"/>
        </w:rPr>
        <w:t xml:space="preserve">Smluvní strany svými podpisy potvrzují, že smlouvu uzavřely dobrovolně a vážně, určitě a srozumitelně podle své pravé a svobodné vůle, nikoliv v tísni </w:t>
      </w:r>
      <w:proofErr w:type="gramStart"/>
      <w:r w:rsidRPr="00962A96">
        <w:rPr>
          <w:rFonts w:ascii="Arial" w:hAnsi="Arial" w:cs="Arial"/>
          <w:sz w:val="24"/>
        </w:rPr>
        <w:t xml:space="preserve">nebo </w:t>
      </w:r>
      <w:r>
        <w:rPr>
          <w:rFonts w:ascii="Arial" w:hAnsi="Arial" w:cs="Arial"/>
          <w:sz w:val="24"/>
        </w:rPr>
        <w:t xml:space="preserve">           </w:t>
      </w:r>
      <w:r w:rsidR="00FC73A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Pr="00962A96">
        <w:rPr>
          <w:rFonts w:ascii="Arial" w:hAnsi="Arial" w:cs="Arial"/>
          <w:sz w:val="24"/>
        </w:rPr>
        <w:t>za</w:t>
      </w:r>
      <w:proofErr w:type="gramEnd"/>
      <w:r w:rsidRPr="00962A96">
        <w:rPr>
          <w:rFonts w:ascii="Arial" w:hAnsi="Arial" w:cs="Arial"/>
          <w:sz w:val="24"/>
        </w:rPr>
        <w:t xml:space="preserve"> nápadně nevýhodných podmínek.</w:t>
      </w: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Pr="00962A9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Default="000C2A06" w:rsidP="000C2A06">
      <w:pPr>
        <w:jc w:val="both"/>
        <w:rPr>
          <w:rFonts w:ascii="Arial" w:hAnsi="Arial" w:cs="Arial"/>
          <w:sz w:val="24"/>
        </w:rPr>
      </w:pPr>
      <w:proofErr w:type="gramStart"/>
      <w:r w:rsidRPr="00962A96">
        <w:rPr>
          <w:rFonts w:ascii="Arial" w:hAnsi="Arial" w:cs="Arial"/>
          <w:sz w:val="24"/>
        </w:rPr>
        <w:t>O d b ě r a t e l :</w:t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</w:r>
      <w:r w:rsidRPr="00962A96">
        <w:rPr>
          <w:rFonts w:ascii="Arial" w:hAnsi="Arial" w:cs="Arial"/>
          <w:sz w:val="24"/>
        </w:rPr>
        <w:tab/>
        <w:t>D o d a v a t e l :</w:t>
      </w:r>
      <w:proofErr w:type="gramEnd"/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0C2A06" w:rsidRDefault="000C2A06" w:rsidP="000C2A06">
      <w:pPr>
        <w:jc w:val="both"/>
        <w:rPr>
          <w:rFonts w:ascii="Arial" w:hAnsi="Arial" w:cs="Arial"/>
          <w:sz w:val="24"/>
        </w:rPr>
      </w:pPr>
    </w:p>
    <w:p w:rsidR="00CA415A" w:rsidRDefault="00CA415A"/>
    <w:sectPr w:rsidR="00CA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6871"/>
    <w:multiLevelType w:val="hybridMultilevel"/>
    <w:tmpl w:val="FCEEC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5DA2"/>
    <w:multiLevelType w:val="hybridMultilevel"/>
    <w:tmpl w:val="8FAC561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B77DFD"/>
    <w:multiLevelType w:val="hybridMultilevel"/>
    <w:tmpl w:val="D7905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944BD"/>
    <w:multiLevelType w:val="hybridMultilevel"/>
    <w:tmpl w:val="D7905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E69D6"/>
    <w:multiLevelType w:val="hybridMultilevel"/>
    <w:tmpl w:val="8FAC561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085130"/>
    <w:multiLevelType w:val="hybridMultilevel"/>
    <w:tmpl w:val="D7905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06"/>
    <w:rsid w:val="000C2A06"/>
    <w:rsid w:val="003D1DE7"/>
    <w:rsid w:val="00CA415A"/>
    <w:rsid w:val="00F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2A06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0C2A06"/>
    <w:pPr>
      <w:keepNext/>
      <w:jc w:val="both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A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C2A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2A0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2A06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0C2A06"/>
    <w:pPr>
      <w:keepNext/>
      <w:jc w:val="both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A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C2A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2A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1368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2025-01-18T09:13:00Z</dcterms:created>
  <dcterms:modified xsi:type="dcterms:W3CDTF">2025-01-18T09:19:00Z</dcterms:modified>
</cp:coreProperties>
</file>