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511D24">
        <w:rPr>
          <w:b/>
          <w:color w:val="auto"/>
          <w:sz w:val="28"/>
          <w:szCs w:val="28"/>
        </w:rPr>
        <w:t>202</w:t>
      </w:r>
      <w:r w:rsidR="008307A3">
        <w:rPr>
          <w:b/>
          <w:color w:val="auto"/>
          <w:sz w:val="28"/>
          <w:szCs w:val="28"/>
        </w:rPr>
        <w:t>5</w:t>
      </w:r>
    </w:p>
    <w:p w:rsidR="008F1C39" w:rsidRPr="008F1C39" w:rsidRDefault="008F1C39" w:rsidP="001E6466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2"/>
          <w:szCs w:val="22"/>
        </w:rPr>
      </w:pPr>
      <w:r w:rsidRPr="008F1C39">
        <w:rPr>
          <w:color w:val="auto"/>
          <w:sz w:val="22"/>
          <w:szCs w:val="22"/>
        </w:rPr>
        <w:t xml:space="preserve">ke Smlouvě o dodávce tepelné energie </w:t>
      </w:r>
      <w:r w:rsidR="001E6466">
        <w:rPr>
          <w:color w:val="auto"/>
          <w:sz w:val="22"/>
          <w:szCs w:val="22"/>
        </w:rPr>
        <w:t>č. dodavatele EN SO/1/2020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="001E6466">
        <w:rPr>
          <w:color w:val="auto"/>
        </w:rPr>
        <w:t xml:space="preserve">   </w:t>
      </w:r>
      <w:r w:rsidRPr="006058CA">
        <w:rPr>
          <w:color w:val="auto"/>
        </w:rPr>
        <w:t xml:space="preserve">Ostrovní </w:t>
      </w:r>
      <w:r w:rsidR="000766C5">
        <w:rPr>
          <w:color w:val="auto"/>
        </w:rPr>
        <w:t>225/</w:t>
      </w:r>
      <w:r w:rsidRPr="006058CA">
        <w:rPr>
          <w:color w:val="auto"/>
        </w:rPr>
        <w:t>1, Praha 1</w:t>
      </w:r>
      <w:r w:rsidR="000766C5">
        <w:rPr>
          <w:color w:val="auto"/>
        </w:rPr>
        <w:t xml:space="preserve"> – Nové město</w:t>
      </w:r>
      <w:r w:rsidRPr="006058CA">
        <w:rPr>
          <w:color w:val="auto"/>
        </w:rPr>
        <w:t xml:space="preserve">, </w:t>
      </w:r>
      <w:r w:rsidR="000766C5">
        <w:rPr>
          <w:color w:val="auto"/>
        </w:rPr>
        <w:t>110 00</w:t>
      </w:r>
    </w:p>
    <w:p w:rsidR="006129F8" w:rsidRPr="006058CA" w:rsidRDefault="00850E1B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8A30BD">
        <w:rPr>
          <w:color w:val="auto"/>
        </w:rPr>
        <w:t xml:space="preserve">generálním </w:t>
      </w:r>
      <w:r w:rsidR="006129F8">
        <w:rPr>
          <w:color w:val="auto"/>
        </w:rPr>
        <w:t>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bankovní spojení:</w:t>
      </w:r>
      <w:r w:rsidRPr="006058CA">
        <w:rPr>
          <w:color w:val="auto"/>
        </w:rPr>
        <w:tab/>
        <w:t>č. účtu:</w:t>
      </w:r>
    </w:p>
    <w:p w:rsidR="001E6466" w:rsidRPr="00775355" w:rsidRDefault="001E6466" w:rsidP="001E6466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bookmarkStart w:id="0" w:name="_GoBack"/>
      <w:bookmarkEnd w:id="0"/>
    </w:p>
    <w:p w:rsidR="001E6466" w:rsidRPr="006058CA" w:rsidRDefault="001E6466" w:rsidP="001E6466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BE524A" w:rsidRDefault="00BE524A" w:rsidP="0032500E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</w:t>
      </w:r>
      <w:r w:rsidR="001E6466">
        <w:rPr>
          <w:rFonts w:ascii="Times New Roman" w:hAnsi="Times New Roman" w:cs="Times New Roman"/>
          <w:sz w:val="23"/>
          <w:szCs w:val="23"/>
        </w:rPr>
        <w:t>:</w:t>
      </w:r>
      <w:r w:rsidR="001E6466">
        <w:rPr>
          <w:rFonts w:ascii="Times New Roman" w:hAnsi="Times New Roman" w:cs="Times New Roman"/>
          <w:sz w:val="23"/>
          <w:szCs w:val="23"/>
        </w:rPr>
        <w:tab/>
      </w:r>
      <w:r w:rsidRPr="00C37362">
        <w:rPr>
          <w:rFonts w:ascii="Times New Roman" w:hAnsi="Times New Roman" w:cs="Times New Roman"/>
          <w:sz w:val="23"/>
          <w:szCs w:val="23"/>
        </w:rPr>
        <w:t xml:space="preserve"> Dejvická 262/14, Praha 6, PSČ 160 00</w:t>
      </w:r>
    </w:p>
    <w:p w:rsidR="00BE524A" w:rsidRDefault="00BE524A" w:rsidP="00BE52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zastoupené: </w:t>
      </w:r>
      <w:r w:rsidR="001E6466"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Daniel Jablonský, jednatel společnosti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BE524A" w:rsidRPr="006058CA" w:rsidRDefault="00BE524A" w:rsidP="00BE524A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86638B" w:rsidRPr="0054345C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1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2" w:name="bookmark21"/>
      <w:bookmarkEnd w:id="1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86638B" w:rsidRPr="0054345C">
        <w:rPr>
          <w:color w:val="auto"/>
          <w:sz w:val="24"/>
          <w:szCs w:val="24"/>
        </w:rPr>
        <w:t>I.</w:t>
      </w:r>
    </w:p>
    <w:p w:rsidR="0086638B" w:rsidRPr="005B37D9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r w:rsidRPr="005B37D9">
        <w:rPr>
          <w:color w:val="auto"/>
        </w:rPr>
        <w:t>Cena tepelné energie</w:t>
      </w:r>
    </w:p>
    <w:p w:rsidR="0086638B" w:rsidRPr="005B37D9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Cena za tepelnou energii se účtuje formou jednosložkové ceny ve výši </w:t>
      </w:r>
      <w:r w:rsidR="000766C5">
        <w:rPr>
          <w:b/>
          <w:color w:val="auto"/>
        </w:rPr>
        <w:t>740,38</w:t>
      </w:r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DPH přičemž k ceně bude připočtena DPH v aktuální sazbě k DUZP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</w:pPr>
      <w:r w:rsidRPr="0080032B"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tepla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lastRenderedPageBreak/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0766C5">
        <w:rPr>
          <w:color w:val="auto"/>
        </w:rPr>
        <w:t>6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0766C5">
        <w:rPr>
          <w:color w:val="auto"/>
        </w:rPr>
        <w:t>5</w:t>
      </w:r>
      <w:r w:rsidRPr="0080032B">
        <w:rPr>
          <w:color w:val="auto"/>
        </w:rPr>
        <w:t>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>2.1.</w:t>
      </w:r>
      <w:r w:rsidRPr="0080032B">
        <w:rPr>
          <w:color w:val="auto"/>
        </w:rPr>
        <w:t xml:space="preserve"> Celkový plánovaný odběr </w:t>
      </w:r>
      <w:r w:rsidRPr="0080032B">
        <w:rPr>
          <w:b/>
          <w:color w:val="auto"/>
        </w:rPr>
        <w:t xml:space="preserve">tepelné energie na vytápění a ohřev TV </w:t>
      </w:r>
      <w:r w:rsidRPr="0080032B">
        <w:rPr>
          <w:color w:val="auto"/>
        </w:rPr>
        <w:t xml:space="preserve"> za kalendářní rok, včetně časového rozlišení odběru, je uveden v odběrovém diagramu:</w:t>
      </w:r>
    </w:p>
    <w:p w:rsidR="0086638B" w:rsidRPr="0080032B" w:rsidRDefault="0086638B" w:rsidP="0086638B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80032B">
        <w:rPr>
          <w:color w:val="auto"/>
        </w:rPr>
        <w:t>Odběrový diagram:</w:t>
      </w:r>
    </w:p>
    <w:tbl>
      <w:tblPr>
        <w:tblW w:w="88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1"/>
        <w:gridCol w:w="2285"/>
        <w:gridCol w:w="860"/>
        <w:gridCol w:w="2284"/>
        <w:gridCol w:w="808"/>
        <w:gridCol w:w="1924"/>
      </w:tblGrid>
      <w:tr w:rsidR="00532B65" w:rsidRPr="0080032B" w:rsidTr="008E0B33">
        <w:trPr>
          <w:cantSplit/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Ú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80 GJ</w:t>
            </w:r>
          </w:p>
        </w:tc>
      </w:tr>
      <w:tr w:rsidR="00532B65" w:rsidRPr="0080032B" w:rsidTr="008E0B33">
        <w:trPr>
          <w:cantSplit/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40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86638B" w:rsidRPr="0080032B" w:rsidTr="008E0B33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</w:tbl>
    <w:p w:rsidR="0086638B" w:rsidRPr="0080032B" w:rsidRDefault="0086638B" w:rsidP="008663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0032B"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  <w:t>Údaje  o  sjednaném množství  tepla jsou pouze orientační a neslouží pro potřebu  vyúčtování  za dodávky  tepla</w:t>
      </w: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>2.2.</w:t>
      </w:r>
      <w:r w:rsidRPr="0080032B">
        <w:rPr>
          <w:color w:val="auto"/>
        </w:rPr>
        <w:t xml:space="preserve"> Případné změny odběrového diagramu na následující rok sjednává odběratel s dodavatelem vždy do 10.12. příslušného kalendářního roku. Nepodá-li odběratel návrh na nový odběrový diagram, prodlužuje se platnost diagramu na další kalendářní rok.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80032B">
        <w:rPr>
          <w:color w:val="auto"/>
        </w:rPr>
        <w:t>III.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80032B">
        <w:rPr>
          <w:color w:val="auto"/>
        </w:rPr>
        <w:t>Cena  chladu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 w:rsidRPr="0080032B">
        <w:rPr>
          <w:color w:val="auto"/>
        </w:rPr>
        <w:t>3.1.</w:t>
      </w:r>
      <w:r w:rsidRPr="0080032B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3.2. Cena za chlad se účtuje formou  jednosložkové ceny ve výši </w:t>
      </w:r>
      <w:r w:rsidR="000766C5" w:rsidRPr="000766C5">
        <w:rPr>
          <w:b/>
          <w:color w:val="auto"/>
        </w:rPr>
        <w:t>740,90</w:t>
      </w:r>
      <w:r w:rsidR="00CB5B66">
        <w:rPr>
          <w:b/>
          <w:color w:val="auto"/>
        </w:rPr>
        <w:t xml:space="preserve"> </w:t>
      </w:r>
      <w:r w:rsidRPr="0080032B">
        <w:rPr>
          <w:b/>
          <w:color w:val="auto"/>
        </w:rPr>
        <w:t>Kč/GJ</w:t>
      </w:r>
      <w:r w:rsidRPr="0080032B">
        <w:rPr>
          <w:color w:val="auto"/>
        </w:rPr>
        <w:t xml:space="preserve">  bez  DPH přičemž k ceně bude připočtena DPH v aktuální sazbě k DUZP.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80032B"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chladu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0766C5">
        <w:rPr>
          <w:color w:val="auto"/>
        </w:rPr>
        <w:t>6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0766C5">
        <w:rPr>
          <w:color w:val="auto"/>
        </w:rPr>
        <w:t>5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IV.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 xml:space="preserve">4.1. </w:t>
      </w:r>
      <w:r w:rsidRPr="0080032B">
        <w:rPr>
          <w:color w:val="auto"/>
        </w:rPr>
        <w:t xml:space="preserve"> Celkový plánovaný odběr chladu za kalendářní rok činí </w:t>
      </w:r>
      <w:r w:rsidR="00532B65">
        <w:rPr>
          <w:color w:val="auto"/>
        </w:rPr>
        <w:t>110</w:t>
      </w:r>
      <w:r w:rsidRPr="0080032B">
        <w:rPr>
          <w:color w:val="auto"/>
        </w:rPr>
        <w:t xml:space="preserve"> GJ (tato hodnota je pouze orientační a neslouží pro potřebu vyúčtování za dodávky chladu).</w:t>
      </w: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 xml:space="preserve">4.2. </w:t>
      </w:r>
      <w:r w:rsidRPr="0080032B">
        <w:rPr>
          <w:color w:val="auto"/>
        </w:rPr>
        <w:t xml:space="preserve"> Případné změny ve výši odběru chladu na následující rok sjednává odběratel s dodavatelem vždy do 10.12.  příslušného kalendářního roku. Nepodá-li odběratel návrh na změnu odběru chladu, prodlužuje se platnost diagramu na další kalendářní rok.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86638B" w:rsidRPr="0054345C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86638B" w:rsidRDefault="0086638B" w:rsidP="0086638B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 xml:space="preserve"> Toto Cenové ujednání nabývá platnosti dnem jeho podpisu smluvními stranami a účinnosti dnem jeho uveřejnění v registru smluv dle zákona č. 340/2015 Sb.</w:t>
      </w: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CE4B10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>
        <w:rPr>
          <w:color w:val="auto"/>
        </w:rPr>
        <w:t xml:space="preserve">  </w:t>
      </w:r>
      <w:r w:rsidRPr="005B37D9">
        <w:rPr>
          <w:color w:val="auto"/>
        </w:rPr>
        <w:t>dne</w:t>
      </w:r>
      <w:r>
        <w:rPr>
          <w:color w:val="auto"/>
        </w:rPr>
        <w:t>…………….</w:t>
      </w:r>
    </w:p>
    <w:p w:rsidR="0086638B" w:rsidRPr="005B37D9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Pr="005B37D9">
        <w:rPr>
          <w:color w:val="auto"/>
        </w:rPr>
        <w:t xml:space="preserve">: 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Dodavatel</w:t>
      </w:r>
      <w:r w:rsidRPr="005B37D9">
        <w:rPr>
          <w:color w:val="auto"/>
        </w:rPr>
        <w:t>:</w:t>
      </w:r>
    </w:p>
    <w:p w:rsidR="0086638B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prof</w:t>
      </w:r>
      <w:r w:rsidRPr="005B37D9">
        <w:rPr>
          <w:color w:val="auto"/>
        </w:rPr>
        <w:t xml:space="preserve">. MgA. Jan Burian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A30BD">
        <w:rPr>
          <w:color w:val="auto"/>
        </w:rPr>
        <w:t xml:space="preserve">generální </w:t>
      </w:r>
      <w:r>
        <w:rPr>
          <w:color w:val="auto"/>
        </w:rPr>
        <w:t xml:space="preserve">ředitel </w:t>
      </w:r>
      <w:r>
        <w:rPr>
          <w:color w:val="auto"/>
        </w:rPr>
        <w:tab/>
      </w:r>
    </w:p>
    <w:bookmarkEnd w:id="2"/>
    <w:p w:rsidR="00CF2797" w:rsidRPr="005B37D9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9B" w:rsidRDefault="0033149B" w:rsidP="001E184B">
      <w:r>
        <w:separator/>
      </w:r>
    </w:p>
  </w:endnote>
  <w:endnote w:type="continuationSeparator" w:id="0">
    <w:p w:rsidR="0033149B" w:rsidRDefault="0033149B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B2017" w:rsidRPr="001B2017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33149B" w:rsidRPr="0033149B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9B" w:rsidRDefault="0033149B"/>
  </w:footnote>
  <w:footnote w:type="continuationSeparator" w:id="0">
    <w:p w:rsidR="0033149B" w:rsidRDefault="00331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451B36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4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9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21"/>
  </w:num>
  <w:num w:numId="17">
    <w:abstractNumId w:val="22"/>
  </w:num>
  <w:num w:numId="18">
    <w:abstractNumId w:val="5"/>
  </w:num>
  <w:num w:numId="19">
    <w:abstractNumId w:val="25"/>
  </w:num>
  <w:num w:numId="20">
    <w:abstractNumId w:val="10"/>
  </w:num>
  <w:num w:numId="21">
    <w:abstractNumId w:val="18"/>
  </w:num>
  <w:num w:numId="22">
    <w:abstractNumId w:val="24"/>
  </w:num>
  <w:num w:numId="23">
    <w:abstractNumId w:val="14"/>
  </w:num>
  <w:num w:numId="24">
    <w:abstractNumId w:val="1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766C5"/>
    <w:rsid w:val="00083D5A"/>
    <w:rsid w:val="00090CCE"/>
    <w:rsid w:val="000918F7"/>
    <w:rsid w:val="00094810"/>
    <w:rsid w:val="000A2450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0F6FDF"/>
    <w:rsid w:val="00104DE5"/>
    <w:rsid w:val="00106180"/>
    <w:rsid w:val="00121AF0"/>
    <w:rsid w:val="00123DA4"/>
    <w:rsid w:val="00126A28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B2017"/>
    <w:rsid w:val="001C33FF"/>
    <w:rsid w:val="001C4E84"/>
    <w:rsid w:val="001C5C8D"/>
    <w:rsid w:val="001D645F"/>
    <w:rsid w:val="001E184B"/>
    <w:rsid w:val="001E3B9D"/>
    <w:rsid w:val="001E6185"/>
    <w:rsid w:val="001E6466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00CDD"/>
    <w:rsid w:val="003124A8"/>
    <w:rsid w:val="00313286"/>
    <w:rsid w:val="003202B6"/>
    <w:rsid w:val="0032094B"/>
    <w:rsid w:val="00322B69"/>
    <w:rsid w:val="00323E91"/>
    <w:rsid w:val="0032500E"/>
    <w:rsid w:val="0032684A"/>
    <w:rsid w:val="00327D0E"/>
    <w:rsid w:val="00330A60"/>
    <w:rsid w:val="0033149B"/>
    <w:rsid w:val="003323E4"/>
    <w:rsid w:val="00334A76"/>
    <w:rsid w:val="00340516"/>
    <w:rsid w:val="0035705B"/>
    <w:rsid w:val="00361646"/>
    <w:rsid w:val="00365A36"/>
    <w:rsid w:val="00372016"/>
    <w:rsid w:val="003731AE"/>
    <w:rsid w:val="00381D80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2060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1D24"/>
    <w:rsid w:val="00513656"/>
    <w:rsid w:val="00517160"/>
    <w:rsid w:val="0053067D"/>
    <w:rsid w:val="00532B65"/>
    <w:rsid w:val="005354A2"/>
    <w:rsid w:val="00537851"/>
    <w:rsid w:val="0054345C"/>
    <w:rsid w:val="00551693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B41"/>
    <w:rsid w:val="006B4DAA"/>
    <w:rsid w:val="006C72FF"/>
    <w:rsid w:val="006C7A4F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5745"/>
    <w:rsid w:val="00771B11"/>
    <w:rsid w:val="0077590D"/>
    <w:rsid w:val="00794AAD"/>
    <w:rsid w:val="007A157E"/>
    <w:rsid w:val="007B3D04"/>
    <w:rsid w:val="007B4A33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07A3"/>
    <w:rsid w:val="008340DA"/>
    <w:rsid w:val="00836DF6"/>
    <w:rsid w:val="00842D7B"/>
    <w:rsid w:val="00843172"/>
    <w:rsid w:val="0085041D"/>
    <w:rsid w:val="00850E1B"/>
    <w:rsid w:val="00852C15"/>
    <w:rsid w:val="0085377B"/>
    <w:rsid w:val="00863AA1"/>
    <w:rsid w:val="0086638B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30BD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2B7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3590F"/>
    <w:rsid w:val="00B44E32"/>
    <w:rsid w:val="00B50591"/>
    <w:rsid w:val="00B526FB"/>
    <w:rsid w:val="00B540DB"/>
    <w:rsid w:val="00B61A84"/>
    <w:rsid w:val="00B65981"/>
    <w:rsid w:val="00B70D92"/>
    <w:rsid w:val="00B7284F"/>
    <w:rsid w:val="00B87E11"/>
    <w:rsid w:val="00B94869"/>
    <w:rsid w:val="00BB54FD"/>
    <w:rsid w:val="00BC1388"/>
    <w:rsid w:val="00BD025A"/>
    <w:rsid w:val="00BE524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4AF9"/>
    <w:rsid w:val="00C75F51"/>
    <w:rsid w:val="00C8015A"/>
    <w:rsid w:val="00C90F77"/>
    <w:rsid w:val="00C97A8C"/>
    <w:rsid w:val="00C97CEA"/>
    <w:rsid w:val="00CA3091"/>
    <w:rsid w:val="00CA355C"/>
    <w:rsid w:val="00CA36D2"/>
    <w:rsid w:val="00CB23F8"/>
    <w:rsid w:val="00CB356C"/>
    <w:rsid w:val="00CB5B66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6698"/>
    <w:rsid w:val="00E01134"/>
    <w:rsid w:val="00E1417E"/>
    <w:rsid w:val="00E16ED3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54F60"/>
    <w:rsid w:val="00E63E56"/>
    <w:rsid w:val="00E72A2A"/>
    <w:rsid w:val="00E7456C"/>
    <w:rsid w:val="00E80AC8"/>
    <w:rsid w:val="00E815C6"/>
    <w:rsid w:val="00E966FF"/>
    <w:rsid w:val="00EA1338"/>
    <w:rsid w:val="00EA2D3F"/>
    <w:rsid w:val="00EA66E8"/>
    <w:rsid w:val="00EB720E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F82B-46B5-4699-AE0D-11097CB8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Vzorová_smlouva_o_dodávce_TE_18 11 09.doc</vt:lpstr>
      <vt:lpstr>        </vt:lpstr>
      <vt:lpstr>        (dále také jen „odběratel")</vt:lpstr>
      <vt:lpstr>I.</vt:lpstr>
      <vt:lpstr>        Cena tepelné energie</vt:lpstr>
      <vt:lpstr>        </vt:lpstr>
      <vt:lpstr>        II.</vt:lpstr>
      <vt:lpstr>        Odběrový diagram</vt:lpstr>
      <vt:lpstr>        III.</vt:lpstr>
      <vt:lpstr>        Cena  chladu</vt:lpstr>
      <vt:lpstr>        IV.</vt:lpstr>
      <vt:lpstr>        Odběrový diagram</vt:lpstr>
      <vt:lpstr>        Platnost a účinnost Cenového uje</vt:lpstr>
      <vt:lpstr/>
    </vt:vector>
  </TitlesOfParts>
  <Company>Your Organization Name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2025-01-17T14:08:00Z</dcterms:created>
  <dcterms:modified xsi:type="dcterms:W3CDTF">2025-01-17T14:09:00Z</dcterms:modified>
</cp:coreProperties>
</file>