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5839" w14:textId="77777777" w:rsidR="005A4A52" w:rsidRDefault="009C6AC0">
      <w:pPr>
        <w:spacing w:after="0" w:line="259" w:lineRule="auto"/>
        <w:ind w:left="8424" w:right="0" w:firstLine="0"/>
        <w:jc w:val="left"/>
      </w:pPr>
      <w:r>
        <w:rPr>
          <w:noProof/>
        </w:rPr>
        <w:drawing>
          <wp:inline distT="0" distB="0" distL="0" distR="0" wp14:anchorId="6C0284DC" wp14:editId="37AFD725">
            <wp:extent cx="608076" cy="612648"/>
            <wp:effectExtent l="0" t="0" r="0" b="0"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57426" w14:textId="77777777" w:rsidR="005A4A52" w:rsidRDefault="009C6AC0">
      <w:pPr>
        <w:ind w:right="979"/>
      </w:pPr>
      <w:r>
        <w:t>Smlouva o dílo Č. 27397</w:t>
      </w:r>
    </w:p>
    <w:p w14:paraId="53F5AFF1" w14:textId="77777777" w:rsidR="005A4A52" w:rsidRDefault="009C6AC0">
      <w:pPr>
        <w:tabs>
          <w:tab w:val="center" w:pos="3596"/>
          <w:tab w:val="right" w:pos="9662"/>
        </w:tabs>
        <w:spacing w:after="0" w:line="265" w:lineRule="auto"/>
        <w:ind w:left="0" w:right="-15" w:firstLine="0"/>
        <w:jc w:val="left"/>
      </w:pPr>
      <w:r>
        <w:tab/>
      </w:r>
      <w:r>
        <w:t>Servis výtahu (ů)</w:t>
      </w:r>
      <w:r>
        <w:tab/>
      </w:r>
      <w:r>
        <w:t>Schindler</w:t>
      </w:r>
    </w:p>
    <w:tbl>
      <w:tblPr>
        <w:tblStyle w:val="TableGrid"/>
        <w:tblW w:w="8618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406"/>
        <w:gridCol w:w="3866"/>
      </w:tblGrid>
      <w:tr w:rsidR="005A4A52" w14:paraId="5F3774E1" w14:textId="77777777">
        <w:trPr>
          <w:trHeight w:val="18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36B9E19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  <w:u w:val="single" w:color="000000"/>
              </w:rPr>
              <w:t>Obiednatel</w:t>
            </w:r>
            <w:proofErr w:type="spellEnd"/>
            <w:r>
              <w:rPr>
                <w:sz w:val="22"/>
                <w:u w:val="single" w:color="000000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229CEDFD" w14:textId="77777777" w:rsidR="005A4A52" w:rsidRDefault="005A4A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7962D2A1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u w:val="single" w:color="000000"/>
              </w:rPr>
              <w:t>Zhotovitel :</w:t>
            </w:r>
            <w:proofErr w:type="gramEnd"/>
          </w:p>
        </w:tc>
      </w:tr>
      <w:tr w:rsidR="005A4A52" w14:paraId="77E41A53" w14:textId="77777777">
        <w:trPr>
          <w:trHeight w:val="21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D8BC875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r>
              <w:t>Firma: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26961FD9" w14:textId="77777777" w:rsidR="005A4A52" w:rsidRDefault="009C6AC0">
            <w:pPr>
              <w:spacing w:after="0" w:line="259" w:lineRule="auto"/>
              <w:ind w:left="14" w:right="0" w:firstLine="0"/>
              <w:jc w:val="left"/>
            </w:pPr>
            <w:r>
              <w:t xml:space="preserve">Státní </w:t>
            </w:r>
            <w:proofErr w:type="spellStart"/>
            <w:r>
              <w:t>veterinámí</w:t>
            </w:r>
            <w:proofErr w:type="spellEnd"/>
            <w:r>
              <w:t xml:space="preserve"> ústav Praha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8509EAC" w14:textId="77777777" w:rsidR="005A4A52" w:rsidRDefault="009C6AC0">
            <w:pPr>
              <w:spacing w:after="0" w:line="259" w:lineRule="auto"/>
              <w:ind w:left="14" w:right="0" w:firstLine="0"/>
              <w:jc w:val="left"/>
            </w:pPr>
            <w:r>
              <w:t>Schindler CZ, a.s.</w:t>
            </w:r>
          </w:p>
        </w:tc>
      </w:tr>
      <w:tr w:rsidR="005A4A52" w14:paraId="53EFE6DF" w14:textId="77777777">
        <w:trPr>
          <w:trHeight w:val="23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4D2ED4C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r>
              <w:t>Sídlo: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2AE63BED" w14:textId="77777777" w:rsidR="005A4A52" w:rsidRDefault="009C6AC0">
            <w:pPr>
              <w:spacing w:after="0" w:line="259" w:lineRule="auto"/>
              <w:ind w:left="14" w:right="0" w:firstLine="0"/>
              <w:jc w:val="left"/>
            </w:pPr>
            <w:r>
              <w:t>Sídlištní 24/136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5D95B93B" w14:textId="77777777" w:rsidR="005A4A52" w:rsidRDefault="009C6AC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Řevnická 170/4</w:t>
            </w:r>
          </w:p>
        </w:tc>
      </w:tr>
      <w:tr w:rsidR="005A4A52" w14:paraId="5D9C32CC" w14:textId="77777777">
        <w:trPr>
          <w:trHeight w:val="21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78DC11" w14:textId="77777777" w:rsidR="005A4A52" w:rsidRDefault="005A4A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789F56F5" w14:textId="77777777" w:rsidR="005A4A52" w:rsidRDefault="009C6AC0">
            <w:pPr>
              <w:spacing w:after="0" w:line="259" w:lineRule="auto"/>
              <w:ind w:left="29" w:right="0" w:firstLine="0"/>
              <w:jc w:val="left"/>
            </w:pPr>
            <w:r>
              <w:t>165 03 Praha 6 - Lysolaje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13D7EC98" w14:textId="77777777" w:rsidR="005A4A52" w:rsidRDefault="009C6AC0">
            <w:pPr>
              <w:spacing w:after="0" w:line="259" w:lineRule="auto"/>
              <w:ind w:left="29" w:right="0" w:firstLine="0"/>
              <w:jc w:val="left"/>
            </w:pPr>
            <w:r>
              <w:t>155 21 Praha 5</w:t>
            </w:r>
          </w:p>
        </w:tc>
      </w:tr>
      <w:tr w:rsidR="005A4A52" w14:paraId="6D72D4D4" w14:textId="77777777">
        <w:trPr>
          <w:trHeight w:val="22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C55A30F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6"/>
              </w:rPr>
              <w:t>lč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0C5D6652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t>000193056V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762B1288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27127010</w:t>
            </w:r>
          </w:p>
        </w:tc>
      </w:tr>
      <w:tr w:rsidR="005A4A52" w14:paraId="2C056721" w14:textId="77777777">
        <w:trPr>
          <w:trHeight w:val="21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95BB8BB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7ECAD78A" w14:textId="77777777" w:rsidR="005A4A52" w:rsidRDefault="005A4A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46BBC1C4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CZ27127010</w:t>
            </w:r>
          </w:p>
        </w:tc>
      </w:tr>
      <w:tr w:rsidR="005A4A52" w14:paraId="6C6DCACF" w14:textId="77777777">
        <w:trPr>
          <w:trHeight w:val="22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652182E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r>
              <w:t>Bank. spojení: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76768994" w14:textId="77777777" w:rsidR="005A4A52" w:rsidRDefault="005A4A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3C88F00C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ČSOB Praha I</w:t>
            </w:r>
            <w:r>
              <w:rPr>
                <w:noProof/>
              </w:rPr>
              <w:drawing>
                <wp:inline distT="0" distB="0" distL="0" distR="0" wp14:anchorId="6FDD7D95" wp14:editId="1F27A07C">
                  <wp:extent cx="4572" cy="4572"/>
                  <wp:effectExtent l="0" t="0" r="0" b="0"/>
                  <wp:docPr id="3561" name="Picture 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Picture 3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A52" w14:paraId="6C1BA707" w14:textId="77777777">
        <w:trPr>
          <w:trHeight w:val="21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B0A47DB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 xml:space="preserve">Č. </w:t>
            </w:r>
            <w:proofErr w:type="gramStart"/>
            <w:r>
              <w:t>účtu :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647382AF" w14:textId="77777777" w:rsidR="005A4A52" w:rsidRDefault="005A4A5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3E696384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900476493/0300</w:t>
            </w:r>
          </w:p>
        </w:tc>
      </w:tr>
      <w:tr w:rsidR="005A4A52" w14:paraId="6F987168" w14:textId="77777777">
        <w:trPr>
          <w:trHeight w:val="24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BE39CD8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Tel.: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6604FA7C" w14:textId="6987EC7A" w:rsidR="005A4A52" w:rsidRDefault="009C6AC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xxxxxx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p. </w:t>
            </w:r>
            <w:r>
              <w:rPr>
                <w:noProof/>
              </w:rPr>
              <w:drawing>
                <wp:inline distT="0" distB="0" distL="0" distR="0" wp14:anchorId="4E44897E" wp14:editId="365B7573">
                  <wp:extent cx="489204" cy="118872"/>
                  <wp:effectExtent l="0" t="0" r="0" b="0"/>
                  <wp:docPr id="3617" name="Picture 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Picture 3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80A562A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257293 11 1</w:t>
            </w:r>
          </w:p>
        </w:tc>
      </w:tr>
      <w:tr w:rsidR="005A4A52" w14:paraId="33835E7A" w14:textId="77777777">
        <w:trPr>
          <w:trHeight w:val="64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6438F0D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rPr>
                <w:sz w:val="18"/>
              </w:rPr>
              <w:t>Fax :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28D3D1B2" w14:textId="4272F3E9" w:rsidR="005A4A52" w:rsidRDefault="009C6AC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xxxxx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12069B0" w14:textId="77777777" w:rsidR="005A4A52" w:rsidRDefault="009C6AC0">
            <w:pPr>
              <w:spacing w:after="0" w:line="259" w:lineRule="auto"/>
              <w:ind w:left="0" w:right="0" w:firstLine="0"/>
            </w:pPr>
            <w:r>
              <w:t xml:space="preserve">257293 248 zapsána v obchodním rejstříku u Městského soudu </w:t>
            </w:r>
            <w:r>
              <w:t>v Praze, oddíl B, vložka 9174</w:t>
            </w:r>
          </w:p>
        </w:tc>
      </w:tr>
    </w:tbl>
    <w:p w14:paraId="51CC4A7B" w14:textId="77777777" w:rsidR="005A4A52" w:rsidRDefault="009C6AC0">
      <w:pPr>
        <w:pStyle w:val="Nadpis1"/>
        <w:numPr>
          <w:ilvl w:val="0"/>
          <w:numId w:val="0"/>
        </w:numPr>
        <w:ind w:left="132"/>
      </w:pPr>
      <w:r>
        <w:rPr>
          <w:u w:val="none"/>
        </w:rPr>
        <w:t xml:space="preserve">Í. </w:t>
      </w:r>
      <w:r>
        <w:t>Předmět smlouvy</w:t>
      </w:r>
    </w:p>
    <w:p w14:paraId="25523A8F" w14:textId="77777777" w:rsidR="005A4A52" w:rsidRDefault="009C6AC0">
      <w:pPr>
        <w:spacing w:after="48" w:line="238" w:lineRule="auto"/>
        <w:ind w:left="485" w:right="1260" w:hanging="370"/>
        <w:jc w:val="left"/>
      </w:pPr>
      <w:r>
        <w:rPr>
          <w:noProof/>
        </w:rPr>
        <w:drawing>
          <wp:inline distT="0" distB="0" distL="0" distR="0" wp14:anchorId="6DB58BF9" wp14:editId="68C7CF6F">
            <wp:extent cx="114300" cy="91440"/>
            <wp:effectExtent l="0" t="0" r="0" b="0"/>
            <wp:docPr id="19799" name="Picture 19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" name="Picture 19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Zhotovitel se zavazuje provádět pravidelnou údržbu a servis na výtazích objednatele specifikovaných v příloze č. I. Rozsah servisních prací je sjednán </w:t>
      </w:r>
      <w:proofErr w:type="spellStart"/>
      <w:r>
        <w:t>přilohou</w:t>
      </w:r>
      <w:proofErr w:type="spellEnd"/>
      <w:r>
        <w:t xml:space="preserve"> č. I a jejich výkon se řídí platnými českými normami, pokyny výrobce a servisním standardem zhotovitele.</w:t>
      </w:r>
    </w:p>
    <w:p w14:paraId="5E9D4CAD" w14:textId="77777777" w:rsidR="005A4A52" w:rsidRDefault="009C6AC0">
      <w:pPr>
        <w:pStyle w:val="Nadpis1"/>
        <w:spacing w:after="42"/>
        <w:ind w:left="468" w:hanging="346"/>
      </w:pPr>
      <w:r>
        <w:t>Smluvní období</w:t>
      </w:r>
      <w:r>
        <w:tab/>
      </w:r>
      <w:r>
        <w:rPr>
          <w:noProof/>
        </w:rPr>
        <w:drawing>
          <wp:inline distT="0" distB="0" distL="0" distR="0" wp14:anchorId="546DB874" wp14:editId="104A1FE5">
            <wp:extent cx="470916" cy="105156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62B0" w14:textId="77777777" w:rsidR="005A4A52" w:rsidRDefault="009C6AC0">
      <w:pPr>
        <w:ind w:left="518" w:right="979" w:hanging="374"/>
      </w:pPr>
      <w:r>
        <w:t xml:space="preserve">2.I </w:t>
      </w:r>
      <w:r>
        <w:t xml:space="preserve">Smlouvaje platná dnem podpisu a uzavírá se na I rok. Po uplynutí tohoto období se smlouva automaticky obnovuje na stejné </w:t>
      </w:r>
      <w:proofErr w:type="gramStart"/>
      <w:r>
        <w:t>období ,</w:t>
      </w:r>
      <w:proofErr w:type="gramEnd"/>
      <w:r>
        <w:t xml:space="preserve"> pokud není předložena výpověď nejméně 3 měsíce před vypršením smlouvy.</w:t>
      </w:r>
    </w:p>
    <w:p w14:paraId="583DCB9C" w14:textId="77777777" w:rsidR="005A4A52" w:rsidRDefault="009C6AC0">
      <w:pPr>
        <w:pStyle w:val="Nadpis1"/>
        <w:spacing w:after="42"/>
        <w:ind w:left="475" w:hanging="353"/>
      </w:pPr>
      <w:r>
        <w:t>Cena</w:t>
      </w:r>
    </w:p>
    <w:p w14:paraId="55B8F90F" w14:textId="77777777" w:rsidR="005A4A52" w:rsidRDefault="009C6AC0">
      <w:pPr>
        <w:spacing w:after="40"/>
        <w:ind w:left="518" w:right="1073" w:hanging="374"/>
      </w:pPr>
      <w:r>
        <w:t xml:space="preserve">3.I </w:t>
      </w:r>
      <w:r>
        <w:t>Celková pevná cena služeb dle této smlouvy činí 2340,- Kč / čtvrtletně (viz. příloha č. l). Zhotovitel bude navíc účtovat všechny dodatečné práce nezahrnuté do smlouvy a také veškerý materiál a všechny díly nezahrnuté do smlouvy. DPH bude účtována sazbou platnou v době fakturace.</w:t>
      </w:r>
    </w:p>
    <w:p w14:paraId="3437A90A" w14:textId="77777777" w:rsidR="005A4A52" w:rsidRDefault="009C6AC0">
      <w:pPr>
        <w:spacing w:after="26"/>
        <w:ind w:left="511" w:right="857" w:hanging="367"/>
      </w:pPr>
      <w:r>
        <w:t>3.2 Zhotovitel má právo zvýšit cenu na základě zvýšení nákladů způsobených změnami norem, předpisů, vyhlášek a zákonů s účinností 2 měsíce po odeslání písemného avíza objednateli. Nevyjádří-li objednatel písemně do I měsíce po obdržení avíza svůj nesouhlas se změnou ceny, platí, že nová cena byla dohodnuta.</w:t>
      </w:r>
    </w:p>
    <w:p w14:paraId="565CB062" w14:textId="3FA27DBD" w:rsidR="005A4A52" w:rsidRDefault="009C6AC0">
      <w:pPr>
        <w:spacing w:after="32"/>
        <w:ind w:left="511" w:right="979" w:hanging="374"/>
      </w:pPr>
      <w:r>
        <w:t xml:space="preserve">3.3 Na základě údajů o inflaci vydávaných Českým statistickým úřadem je zhotovitel oprávněn upravit sjednanou cenu od </w:t>
      </w:r>
      <w:proofErr w:type="spellStart"/>
      <w:proofErr w:type="gramStart"/>
      <w:r>
        <w:t>I.ledna</w:t>
      </w:r>
      <w:proofErr w:type="spellEnd"/>
      <w:proofErr w:type="gramEnd"/>
      <w:r>
        <w:t xml:space="preserve"> 2009 a každý následující rok poté.</w:t>
      </w:r>
    </w:p>
    <w:p w14:paraId="3CE791F1" w14:textId="77777777" w:rsidR="005A4A52" w:rsidRDefault="009C6AC0">
      <w:pPr>
        <w:pStyle w:val="Nadpis1"/>
        <w:ind w:left="482" w:hanging="360"/>
      </w:pPr>
      <w:r>
        <w:t>Fakturace</w:t>
      </w:r>
    </w:p>
    <w:p w14:paraId="1AD6AB70" w14:textId="77777777" w:rsidR="005A4A52" w:rsidRDefault="009C6AC0">
      <w:pPr>
        <w:ind w:left="140" w:right="979"/>
      </w:pPr>
      <w:r>
        <w:rPr>
          <w:noProof/>
        </w:rPr>
        <w:drawing>
          <wp:inline distT="0" distB="0" distL="0" distR="0" wp14:anchorId="4F8287BE" wp14:editId="5D9E5F49">
            <wp:extent cx="137160" cy="91439"/>
            <wp:effectExtent l="0" t="0" r="0" b="0"/>
            <wp:docPr id="19803" name="Picture 19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" name="Picture 19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Daňové doklady zhotovitele jsou splatné do 14 kalendářních dnů po odeslání.</w:t>
      </w:r>
    </w:p>
    <w:p w14:paraId="387B95D8" w14:textId="77777777" w:rsidR="005A4A52" w:rsidRDefault="009C6AC0">
      <w:pPr>
        <w:ind w:left="512" w:right="979" w:hanging="382"/>
      </w:pPr>
      <w:r>
        <w:t xml:space="preserve">4.2 Zhotovitel vystaví daňový doklad </w:t>
      </w:r>
      <w:proofErr w:type="gramStart"/>
      <w:r>
        <w:t>( zák.</w:t>
      </w:r>
      <w:proofErr w:type="gramEnd"/>
      <w:r>
        <w:t xml:space="preserve"> č. 235/2004 Sb. , o dani z přidané hodnoty, v platném znění) vždy k 15. dni l., 2.0 měsíce kalendářního čtvrtletí , jíž vyúčtuje čtvrtletní smluvní cenu služeb a cenu materiálu a náhradních dílů dle skutečné spotřeby v minulém období. Eventuální alikvotní část ceny od počátku účinnosti této smlouvy k datu pravidelné fakturace bude vyúčtována k tomuto dni.</w:t>
      </w:r>
    </w:p>
    <w:p w14:paraId="7830551C" w14:textId="77777777" w:rsidR="005A4A52" w:rsidRDefault="009C6AC0">
      <w:pPr>
        <w:spacing w:after="2" w:line="238" w:lineRule="auto"/>
        <w:ind w:left="485" w:right="907" w:hanging="370"/>
        <w:jc w:val="left"/>
      </w:pPr>
      <w:r>
        <w:t xml:space="preserve">4.3 Mimořádné práce provedené nad rozsah sjednaný touto </w:t>
      </w:r>
      <w:proofErr w:type="gramStart"/>
      <w:r>
        <w:t>smlouvou ,</w:t>
      </w:r>
      <w:proofErr w:type="gramEnd"/>
      <w:r>
        <w:t xml:space="preserve"> včetně materiálu a náhradních dílů bude zhotovitel fakturovat po jejich dokončení v běžných zakázkových sazbách , které mohou obsahovat přirážku za práci přesčasovou, o svátcích či ve dnech pracovního klidu . Mimořádnou prací se vždy rozumí provedení oprav vyvolaných </w:t>
      </w:r>
      <w:proofErr w:type="gramStart"/>
      <w:r>
        <w:t>vandalismem ,</w:t>
      </w:r>
      <w:proofErr w:type="gramEnd"/>
      <w:r>
        <w:t xml:space="preserve"> jakož i oprav vyloučených ze sjednaného rozsahu servisních prací (viz příloha č. I) a oprav poruch mimo sjednané hodiny (příloha č. l) .</w:t>
      </w:r>
    </w:p>
    <w:p w14:paraId="713E049C" w14:textId="77777777" w:rsidR="005A4A52" w:rsidRDefault="009C6AC0">
      <w:pPr>
        <w:pStyle w:val="Nadpis1"/>
        <w:spacing w:after="43"/>
        <w:ind w:left="475" w:hanging="353"/>
      </w:pPr>
      <w:r>
        <w:t>Provozní doba</w:t>
      </w:r>
    </w:p>
    <w:p w14:paraId="7343D52C" w14:textId="77777777" w:rsidR="005A4A52" w:rsidRDefault="009C6AC0">
      <w:pPr>
        <w:ind w:left="496" w:right="979" w:hanging="374"/>
      </w:pPr>
      <w:r>
        <w:t xml:space="preserve">5.I Není-li sjednáno </w:t>
      </w:r>
      <w:proofErr w:type="gramStart"/>
      <w:r>
        <w:t>jinak ,</w:t>
      </w:r>
      <w:proofErr w:type="gramEnd"/>
      <w:r>
        <w:t xml:space="preserve"> všechny práce budou prováděny v obvyklé pracovní době zhotovitele ( v pracovní dny od 7.00 do 15.00, s výhradou možné změny ). Pokud je nutná přítomnost servisního technika k opravě poruchy </w:t>
      </w:r>
      <w:proofErr w:type="gramStart"/>
      <w:r>
        <w:t>výtahu ,</w:t>
      </w:r>
      <w:proofErr w:type="gramEnd"/>
      <w:r>
        <w:t xml:space="preserve"> zhotovitel nastoupí nejdéle další pracovní den po oznámení poruchy a v případě nutného vyproštění osob pak co nejdříve po oznámení , pokud není specifikováno jinak v příloze č. I.</w:t>
      </w:r>
    </w:p>
    <w:p w14:paraId="0C55E69C" w14:textId="77777777" w:rsidR="005A4A52" w:rsidRDefault="009C6AC0">
      <w:pPr>
        <w:pStyle w:val="Nadpis1"/>
        <w:ind w:left="468" w:hanging="346"/>
      </w:pPr>
      <w:r>
        <w:t>Odpovědnost zhotovitele</w:t>
      </w:r>
    </w:p>
    <w:p w14:paraId="567C9842" w14:textId="46A7F398" w:rsidR="005A4A52" w:rsidRDefault="009C6AC0">
      <w:pPr>
        <w:spacing w:after="2" w:line="238" w:lineRule="auto"/>
        <w:ind w:left="485" w:right="907" w:hanging="370"/>
        <w:jc w:val="left"/>
      </w:pPr>
      <w:r>
        <w:t xml:space="preserve">6.I Zhotovitel odpovídá za odborné provedení sjednaných prací. Šestiměsíční záruka se poskytuje na kvalitu </w:t>
      </w:r>
      <w:r>
        <w:t xml:space="preserve">provedených prací při splnění záručních podmínek. Záruka se neposkytuje v případě </w:t>
      </w:r>
      <w:r>
        <w:lastRenderedPageBreak/>
        <w:t xml:space="preserve">vandalismu, zásahu </w:t>
      </w:r>
      <w:r>
        <w:t xml:space="preserve">třetí osoby a vyšší moci. Zhotovitel nenese odpovědnost za škody vzniklé v důsledku skrytých vad díla </w:t>
      </w:r>
      <w:r>
        <w:t xml:space="preserve">(montáže či materiálu) 3. osoby, které při řádném provádění sjednaných prací nemohl zjistit či odstranit. </w:t>
      </w:r>
      <w:r>
        <w:t>Při škodách, za které odpovídá, poskytne zhotovitel ze svého pojištění náhrady na odškodnění poškozených osob a / nebo opravu či zhotovení poškozených věcí. Jiné nároky, zvláště v souvislosti s přerušení</w:t>
      </w:r>
      <w:r>
        <w:t xml:space="preserve">m </w:t>
      </w:r>
      <w:r>
        <w:t>provozu a ušlým ziskem jsou vyloučeny.</w:t>
      </w:r>
    </w:p>
    <w:p w14:paraId="04E9EE8D" w14:textId="77777777" w:rsidR="005A4A52" w:rsidRDefault="009C6AC0">
      <w:pPr>
        <w:pStyle w:val="Nadpis1"/>
        <w:ind w:left="475" w:hanging="353"/>
      </w:pPr>
      <w:r>
        <w:t>Součinnost smluvních stran</w:t>
      </w:r>
    </w:p>
    <w:p w14:paraId="1D715125" w14:textId="77777777" w:rsidR="005A4A52" w:rsidRDefault="009C6AC0">
      <w:pPr>
        <w:spacing w:after="2" w:line="238" w:lineRule="auto"/>
        <w:ind w:left="485" w:right="907" w:hanging="370"/>
        <w:jc w:val="left"/>
      </w:pPr>
      <w:r>
        <w:t xml:space="preserve">7.I Objednatel se zavazuje umožnit zhotoviteli volný přístup k výtahovému zařízení, nezasahovat a nenechat ani třetí osobu zasahovat do výtahového zařízení bez předchozího pověření zhotovitele. Odpovídá za dostupnost revizní knihy </w:t>
      </w:r>
      <w:proofErr w:type="gramStart"/>
      <w:r>
        <w:t>( uchovávat</w:t>
      </w:r>
      <w:proofErr w:type="gramEnd"/>
      <w:r>
        <w:t xml:space="preserve"> v blízkém okolí výtahu ) i strojovny pro zaměstnance zhotovitele.</w:t>
      </w:r>
    </w:p>
    <w:p w14:paraId="1F42BB94" w14:textId="77777777" w:rsidR="005A4A52" w:rsidRDefault="009C6AC0">
      <w:pPr>
        <w:ind w:left="468" w:right="979" w:hanging="353"/>
      </w:pPr>
      <w:r>
        <w:t xml:space="preserve">7.2 Objednatel je srozuměn s tím, že na své náklady provede další opatření nutná pro bezpečnost, dobrý stav </w:t>
      </w:r>
      <w:r>
        <w:rPr>
          <w:noProof/>
        </w:rPr>
        <w:drawing>
          <wp:inline distT="0" distB="0" distL="0" distR="0" wp14:anchorId="1FBA5681" wp14:editId="4A954451">
            <wp:extent cx="4572" cy="4572"/>
            <wp:effectExtent l="0" t="0" r="0" b="0"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výtahu nebo dodržení platných norem </w:t>
      </w:r>
      <w:proofErr w:type="gramStart"/>
      <w:r>
        <w:t>( předpisů</w:t>
      </w:r>
      <w:proofErr w:type="gramEnd"/>
      <w:r>
        <w:t>).</w:t>
      </w:r>
    </w:p>
    <w:p w14:paraId="5E22ED03" w14:textId="77777777" w:rsidR="005A4A52" w:rsidRDefault="009C6AC0">
      <w:pPr>
        <w:pStyle w:val="Nadpis1"/>
        <w:ind w:left="346" w:hanging="346"/>
      </w:pPr>
      <w:r>
        <w:t xml:space="preserve">Penalizace, </w:t>
      </w:r>
      <w:proofErr w:type="spellStart"/>
      <w:r>
        <w:t>zaiištěnĺ</w:t>
      </w:r>
      <w:proofErr w:type="spellEnd"/>
      <w:r>
        <w:t xml:space="preserve"> smluvních závazků</w:t>
      </w:r>
    </w:p>
    <w:p w14:paraId="7CEB7A88" w14:textId="77777777" w:rsidR="005A4A52" w:rsidRDefault="009C6AC0">
      <w:pPr>
        <w:spacing w:line="268" w:lineRule="auto"/>
        <w:ind w:left="396" w:right="986" w:hanging="382"/>
        <w:jc w:val="left"/>
      </w:pPr>
      <w:r>
        <w:t>8.I Pro případ prodlení s peněžitým plněním se sjednává úrok z prodlení ve výši 0,1 % z dlužné částky zn každý den prodlení.</w:t>
      </w:r>
    </w:p>
    <w:p w14:paraId="70C8A991" w14:textId="77777777" w:rsidR="005A4A52" w:rsidRDefault="009C6AC0">
      <w:pPr>
        <w:ind w:left="388" w:right="979" w:hanging="367"/>
      </w:pPr>
      <w:r>
        <w:t xml:space="preserve">8.2 Zhotovitel je oprávněn po předchozím písemném upozornění pozastavit svá plnění z této smlouvy a zprostit se odpovědnosti za výtahové zařízení </w:t>
      </w:r>
      <w:r>
        <w:rPr>
          <w:noProof/>
        </w:rPr>
        <w:drawing>
          <wp:inline distT="0" distB="0" distL="0" distR="0" wp14:anchorId="5B6AACC5" wp14:editId="2672D723">
            <wp:extent cx="18288" cy="64008"/>
            <wp:effectExtent l="0" t="0" r="0" b="0"/>
            <wp:docPr id="19808" name="Picture 19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" name="Picture 198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41DD4" wp14:editId="7EE905C2">
            <wp:extent cx="50292" cy="27432"/>
            <wp:effectExtent l="0" t="0" r="0" b="0"/>
            <wp:docPr id="19810" name="Picture 1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" name="Picture 198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při nedostatku součinnosti objednatele, je-li ohroženo řádné plnění závazků zhotovitele </w:t>
      </w:r>
      <w:r>
        <w:rPr>
          <w:noProof/>
        </w:rPr>
        <w:drawing>
          <wp:inline distT="0" distB="0" distL="0" distR="0" wp14:anchorId="4C8EE913" wp14:editId="219052A6">
            <wp:extent cx="41148" cy="18288"/>
            <wp:effectExtent l="0" t="0" r="0" b="0"/>
            <wp:docPr id="7197" name="Picture 7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" name="Picture 71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je-li objednatel vůči zhotoviteli v prodlení s peněžitým plněním déle než 28 dnů.</w:t>
      </w:r>
    </w:p>
    <w:p w14:paraId="5D1E0ABF" w14:textId="77777777" w:rsidR="005A4A52" w:rsidRDefault="009C6AC0">
      <w:pPr>
        <w:ind w:left="349" w:right="979"/>
      </w:pPr>
      <w:r>
        <w:t xml:space="preserve">V takovém případě vznikne zhotoviteli nárok na smluvní pokutu ve výši sjednané ceny prací dle této </w:t>
      </w:r>
      <w:proofErr w:type="gramStart"/>
      <w:r>
        <w:t>smlouvy ,</w:t>
      </w:r>
      <w:proofErr w:type="gramEnd"/>
      <w:r>
        <w:t xml:space="preserve"> a to po celou dobu takového přerušení smluvních plnění.</w:t>
      </w:r>
    </w:p>
    <w:p w14:paraId="648F30F4" w14:textId="77777777" w:rsidR="005A4A52" w:rsidRDefault="009C6AC0">
      <w:pPr>
        <w:pStyle w:val="Nadpis1"/>
        <w:ind w:left="346" w:hanging="346"/>
      </w:pPr>
      <w:r>
        <w:t>Závěrečná ustanovení</w:t>
      </w:r>
    </w:p>
    <w:p w14:paraId="6455EC3C" w14:textId="77777777" w:rsidR="005A4A52" w:rsidRDefault="009C6AC0">
      <w:pPr>
        <w:ind w:left="395" w:right="979" w:hanging="374"/>
      </w:pPr>
      <w:r>
        <w:t xml:space="preserve">9.I Smluvní strany se dohodly, že právní vztahy vzniklé mezi nimi z této smlouvy se řídí Obchodním zákoníkem </w:t>
      </w:r>
      <w:proofErr w:type="gramStart"/>
      <w:r>
        <w:t>č .</w:t>
      </w:r>
      <w:proofErr w:type="gramEnd"/>
      <w:r>
        <w:t xml:space="preserve"> 513/91 sb. v platném znění a dalšími právními předpisy ČR.</w:t>
      </w:r>
    </w:p>
    <w:p w14:paraId="4F54B3B4" w14:textId="77777777" w:rsidR="005A4A52" w:rsidRDefault="009C6AC0">
      <w:pPr>
        <w:spacing w:after="2" w:line="238" w:lineRule="auto"/>
        <w:ind w:left="377" w:right="907" w:hanging="370"/>
        <w:jc w:val="left"/>
      </w:pPr>
      <w:r>
        <w:t xml:space="preserve">9.2 Nedílnou součástí této smlouvy je příloha č. </w:t>
      </w:r>
      <w:proofErr w:type="gramStart"/>
      <w:r>
        <w:t>I .</w:t>
      </w:r>
      <w:proofErr w:type="gramEnd"/>
      <w:r>
        <w:t xml:space="preserve"> Smlouvaje podepsána ve dvou </w:t>
      </w:r>
      <w:proofErr w:type="gramStart"/>
      <w:r>
        <w:t>vyhotoveních ,</w:t>
      </w:r>
      <w:proofErr w:type="gramEnd"/>
      <w:r>
        <w:t xml:space="preserve"> po jednom pro každou smluvní stranu. Pro vznik smlouvy se vyžaduje dohoda o celém jejím obsahu, změny smlouvy lze provést pouze písemně.</w:t>
      </w:r>
    </w:p>
    <w:p w14:paraId="7F7EEE88" w14:textId="77777777" w:rsidR="005A4A52" w:rsidRDefault="009C6AC0">
      <w:pPr>
        <w:ind w:left="395" w:right="979" w:hanging="374"/>
      </w:pPr>
      <w:r>
        <w:t>9.3 Objednatel určí osobu / -y (jméno, příjmení, adresa, telefon) oprávněnou /- é jménem objednatele ověřovat výkazy pracovníků zhotovitele.</w:t>
      </w:r>
    </w:p>
    <w:p w14:paraId="4391D80F" w14:textId="77777777" w:rsidR="005A4A52" w:rsidRDefault="009C6AC0">
      <w:pPr>
        <w:spacing w:line="268" w:lineRule="auto"/>
        <w:ind w:left="17" w:right="986"/>
        <w:jc w:val="left"/>
      </w:pPr>
      <w:r>
        <w:t>9.4 Služby budou prováděny v režimu pravidelného servisu,</w:t>
      </w:r>
    </w:p>
    <w:p w14:paraId="4D1A8CA4" w14:textId="77777777" w:rsidR="005A4A52" w:rsidRDefault="009C6AC0">
      <w:pPr>
        <w:ind w:left="21" w:right="1325" w:firstLine="353"/>
      </w:pPr>
      <w:r>
        <w:t>Pokud není dohodnuto jinak (příloha č. l</w:t>
      </w:r>
      <w:proofErr w:type="gramStart"/>
      <w:r>
        <w:t>) ,</w:t>
      </w:r>
      <w:proofErr w:type="gramEnd"/>
      <w:r>
        <w:t xml:space="preserve"> zhotovitel zplnomocňuje objednatelem určeného pracovníka k provádění provozních prohlídek. Určeného pracovníka budou dle požadavku objednatele pravidelně </w:t>
      </w:r>
      <w:r>
        <w:rPr>
          <w:noProof/>
        </w:rPr>
        <w:drawing>
          <wp:inline distT="0" distB="0" distL="0" distR="0" wp14:anchorId="38BF6E7D" wp14:editId="22FE967E">
            <wp:extent cx="4573" cy="4572"/>
            <wp:effectExtent l="0" t="0" r="0" b="0"/>
            <wp:docPr id="7034" name="Picture 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" name="Picture 70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proškolovat a jeho činnost bude při každé odborné prohlídce prověřovat odborný pracovník zhotovitele, 9.5 Práva k duševnímu vlastnictví</w:t>
      </w:r>
    </w:p>
    <w:p w14:paraId="0E925D94" w14:textId="77777777" w:rsidR="005A4A52" w:rsidRDefault="009C6AC0">
      <w:pPr>
        <w:ind w:left="377" w:right="979"/>
      </w:pPr>
      <w:r>
        <w:t>K zdokonalení funkci řídícího programového vybavení výtahového zařízení, jehož servis je touto smlouvou o dílo sjednán, je zhotovitel oprávněn k němu připojit doplňkové zařízení a/nebo doplňkové programové vybavení, pokud jej lze vhodně spojit se servisním zařízením zhotovitele. Toto doplňkové zařízení a/nebo doplňkové programové vybavení zůstává majetkem zhotovitele a zhotovitel ho může odejmout při ukončení své činnosti dle této smlouvy.</w:t>
      </w:r>
    </w:p>
    <w:p w14:paraId="201C9CC2" w14:textId="77777777" w:rsidR="005A4A52" w:rsidRDefault="009C6AC0">
      <w:pPr>
        <w:ind w:left="370" w:right="1152"/>
      </w:pPr>
      <w:r>
        <w:t>Objednatel uděluje zhotoviteli právo připojit elektronicky jeho servisní zařízení k výtahovému zařízení a zavazuje se zhotoviteli umožnit plný přístup pro účely čtení, použití a aktualizaci dat vytvořených řídícím programovým vybavením výtahového zařízení.</w:t>
      </w:r>
    </w:p>
    <w:p w14:paraId="04B6757A" w14:textId="77777777" w:rsidR="005A4A52" w:rsidRDefault="009C6AC0">
      <w:pPr>
        <w:pStyle w:val="Nadpis1"/>
        <w:numPr>
          <w:ilvl w:val="0"/>
          <w:numId w:val="0"/>
        </w:numPr>
        <w:ind w:left="32"/>
      </w:pPr>
      <w:r>
        <w:rPr>
          <w:u w:val="none"/>
        </w:rPr>
        <w:t xml:space="preserve">IO. </w:t>
      </w:r>
      <w:r>
        <w:t xml:space="preserve">Zvláštní </w:t>
      </w:r>
      <w:proofErr w:type="spellStart"/>
      <w:r>
        <w:t>uiednání</w:t>
      </w:r>
      <w:proofErr w:type="spellEnd"/>
      <w:r>
        <w:t xml:space="preserve"> </w:t>
      </w:r>
      <w:proofErr w:type="gramStart"/>
      <w:r>
        <w:t>( pokud</w:t>
      </w:r>
      <w:proofErr w:type="gramEnd"/>
      <w:r>
        <w:t xml:space="preserve"> </w:t>
      </w:r>
      <w:proofErr w:type="spellStart"/>
      <w:r>
        <w:t>isou</w:t>
      </w:r>
      <w:proofErr w:type="spellEnd"/>
      <w:r>
        <w:t xml:space="preserve"> stanovena )</w:t>
      </w:r>
    </w:p>
    <w:p w14:paraId="66C5893B" w14:textId="77777777" w:rsidR="005A4A52" w:rsidRDefault="009C6AC0">
      <w:pPr>
        <w:spacing w:after="31"/>
        <w:ind w:left="24" w:right="979"/>
      </w:pPr>
      <w:r>
        <w:t>IO, I Objednatel prohlašuje, že objekty uvedené v příloze Č.] této smlouvy</w:t>
      </w:r>
    </w:p>
    <w:p w14:paraId="432E9A50" w14:textId="77777777" w:rsidR="005A4A52" w:rsidRDefault="009C6AC0">
      <w:pPr>
        <w:ind w:left="370" w:right="979"/>
      </w:pPr>
      <w:r>
        <w:t xml:space="preserve">-ASK nejsou bytovými domy ve smyslu </w:t>
      </w:r>
      <w:proofErr w:type="spellStart"/>
      <w:r>
        <w:t>ust</w:t>
      </w:r>
      <w:proofErr w:type="spellEnd"/>
      <w:r>
        <w:t xml:space="preserve">. 48 </w:t>
      </w:r>
      <w:proofErr w:type="spellStart"/>
      <w:r>
        <w:t>zák.č</w:t>
      </w:r>
      <w:proofErr w:type="spellEnd"/>
      <w:r>
        <w:t>. 235/2004 Sb., o DPH</w:t>
      </w:r>
    </w:p>
    <w:p w14:paraId="6DE2CEE5" w14:textId="77777777" w:rsidR="005A4A52" w:rsidRDefault="009C6AC0">
      <w:pPr>
        <w:ind w:left="370" w:right="1166"/>
      </w:pPr>
      <w:proofErr w:type="gramStart"/>
      <w:r>
        <w:t>-&gt;</w:t>
      </w:r>
      <w:proofErr w:type="spellStart"/>
      <w:r>
        <w:t>Utf</w:t>
      </w:r>
      <w:proofErr w:type="spellEnd"/>
      <w:proofErr w:type="gramEnd"/>
      <w:r>
        <w:t xml:space="preserve">/ nejsou stavbami pro sociální bydlení ve smyslu </w:t>
      </w:r>
      <w:proofErr w:type="spellStart"/>
      <w:r>
        <w:t>příl.č</w:t>
      </w:r>
      <w:proofErr w:type="spellEnd"/>
      <w:r>
        <w:t xml:space="preserve">. 2 </w:t>
      </w:r>
      <w:proofErr w:type="spellStart"/>
      <w:r>
        <w:t>zák.č</w:t>
      </w:r>
      <w:proofErr w:type="spellEnd"/>
      <w:r>
        <w:t>. 235/2004 Sb., o DPH a n? / uplatňuje proto nárok na účtování snížené sazby DPH za stanovené činnosti. Současně se zavazuje zhotovitele bez zbytečného odkladu informovat o případné změně rozhodných skutečností, k níž by došlo v době platnosti této smlouvy.</w:t>
      </w:r>
    </w:p>
    <w:p w14:paraId="31280D3F" w14:textId="1B4EE8C6" w:rsidR="005A4A52" w:rsidRDefault="009C6AC0">
      <w:pPr>
        <w:tabs>
          <w:tab w:val="center" w:pos="5458"/>
          <w:tab w:val="center" w:pos="7160"/>
        </w:tabs>
        <w:ind w:left="0" w:right="0" w:firstLine="0"/>
        <w:jc w:val="left"/>
      </w:pPr>
      <w:r>
        <w:t xml:space="preserve">10.2 Forma úhrady daňových dokladů zhotovitele: </w:t>
      </w:r>
      <w:proofErr w:type="spellStart"/>
      <w:r>
        <w:t>slo</w:t>
      </w:r>
      <w:proofErr w:type="spellEnd"/>
      <w:r>
        <w:tab/>
        <w:t>ou / převodem / inkas</w:t>
      </w:r>
      <w:r>
        <w:tab/>
      </w:r>
      <w:proofErr w:type="spellStart"/>
      <w:r>
        <w:t>rłkazem</w:t>
      </w:r>
      <w:proofErr w:type="spellEnd"/>
    </w:p>
    <w:p w14:paraId="6890ECA5" w14:textId="77777777" w:rsidR="005A4A52" w:rsidRDefault="009C6AC0">
      <w:pPr>
        <w:spacing w:after="1083"/>
        <w:ind w:left="24" w:right="979"/>
      </w:pPr>
      <w:r>
        <w:t>10.3 Korespondenční adresa:</w:t>
      </w:r>
    </w:p>
    <w:p w14:paraId="7E691FC7" w14:textId="77777777" w:rsidR="005A4A52" w:rsidRDefault="005A4A52">
      <w:pPr>
        <w:sectPr w:rsidR="005A4A52">
          <w:pgSz w:w="11902" w:h="16834"/>
          <w:pgMar w:top="914" w:right="756" w:bottom="1315" w:left="1483" w:header="708" w:footer="708" w:gutter="0"/>
          <w:cols w:space="708"/>
        </w:sectPr>
      </w:pPr>
    </w:p>
    <w:p w14:paraId="21F511E7" w14:textId="050AB344" w:rsidR="005A4A52" w:rsidRDefault="009C6AC0">
      <w:pPr>
        <w:ind w:left="24" w:right="979"/>
      </w:pPr>
      <w:r>
        <w:t>V Praze dne</w:t>
      </w:r>
    </w:p>
    <w:p w14:paraId="47B135B5" w14:textId="77777777" w:rsidR="005A4A52" w:rsidRDefault="009C6AC0">
      <w:pPr>
        <w:spacing w:after="852" w:line="265" w:lineRule="auto"/>
        <w:ind w:left="10" w:right="677" w:hanging="10"/>
        <w:jc w:val="right"/>
      </w:pPr>
      <w:r>
        <w:t xml:space="preserve">Manager pro klíčové </w:t>
      </w:r>
      <w:proofErr w:type="spellStart"/>
      <w:r>
        <w:t>kazníky</w:t>
      </w:r>
      <w:proofErr w:type="spellEnd"/>
    </w:p>
    <w:p w14:paraId="74663F3C" w14:textId="77777777" w:rsidR="005A4A52" w:rsidRDefault="009C6AC0">
      <w:pPr>
        <w:spacing w:after="667"/>
        <w:ind w:left="24" w:right="1246"/>
      </w:pPr>
      <w:r>
        <w:lastRenderedPageBreak/>
        <w:t>Pavel Krejčí oblastní vedoucí servisu</w:t>
      </w:r>
    </w:p>
    <w:tbl>
      <w:tblPr>
        <w:tblStyle w:val="TableGrid"/>
        <w:tblW w:w="6696" w:type="dxa"/>
        <w:tblInd w:w="-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1253"/>
      </w:tblGrid>
      <w:tr w:rsidR="005A4A52" w14:paraId="31B68D24" w14:textId="77777777">
        <w:trPr>
          <w:trHeight w:val="198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1194E2E0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Objednatel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7D06B71" w14:textId="77777777" w:rsidR="005A4A52" w:rsidRDefault="009C6AC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Zhotovitel</w:t>
            </w:r>
          </w:p>
        </w:tc>
      </w:tr>
      <w:tr w:rsidR="005A4A52" w14:paraId="7968CAAA" w14:textId="77777777">
        <w:trPr>
          <w:trHeight w:val="20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435175AB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t>(jméno, funkce)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71C07ED" w14:textId="77777777" w:rsidR="005A4A52" w:rsidRDefault="009C6AC0">
            <w:pPr>
              <w:spacing w:after="0" w:line="259" w:lineRule="auto"/>
              <w:ind w:left="0" w:right="0" w:firstLine="0"/>
            </w:pPr>
            <w:r>
              <w:t>(jméno, funkce)</w:t>
            </w:r>
            <w:r>
              <w:rPr>
                <w:noProof/>
              </w:rPr>
              <w:drawing>
                <wp:inline distT="0" distB="0" distL="0" distR="0" wp14:anchorId="29DF2059" wp14:editId="6FE8CBBF">
                  <wp:extent cx="4572" cy="4572"/>
                  <wp:effectExtent l="0" t="0" r="0" b="0"/>
                  <wp:docPr id="7045" name="Picture 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Picture 70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DD6149" wp14:editId="57EA13F2">
                  <wp:extent cx="4572" cy="4572"/>
                  <wp:effectExtent l="0" t="0" r="0" b="0"/>
                  <wp:docPr id="7046" name="Picture 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Picture 70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14:paraId="4433C51B" w14:textId="77777777" w:rsidR="005A4A52" w:rsidRDefault="009C6AC0">
      <w:pPr>
        <w:spacing w:line="268" w:lineRule="auto"/>
        <w:ind w:left="17" w:right="986"/>
        <w:jc w:val="left"/>
      </w:pPr>
      <w:r>
        <w:t xml:space="preserve">Číslo </w:t>
      </w:r>
      <w:proofErr w:type="gramStart"/>
      <w:r>
        <w:t>smlouvy :</w:t>
      </w:r>
      <w:proofErr w:type="gramEnd"/>
      <w:r>
        <w:t xml:space="preserve"> 27397</w:t>
      </w:r>
    </w:p>
    <w:p w14:paraId="111D85A3" w14:textId="77777777" w:rsidR="005A4A52" w:rsidRDefault="009C6AC0">
      <w:pPr>
        <w:ind w:left="24" w:right="979"/>
      </w:pPr>
      <w:r>
        <w:t>List č. 1/I</w:t>
      </w:r>
    </w:p>
    <w:p w14:paraId="349C761D" w14:textId="77777777" w:rsidR="005A4A52" w:rsidRDefault="009C6AC0">
      <w:pPr>
        <w:spacing w:after="0" w:line="259" w:lineRule="auto"/>
        <w:ind w:left="302" w:right="0" w:firstLine="0"/>
        <w:jc w:val="center"/>
      </w:pPr>
      <w:r>
        <w:rPr>
          <w:sz w:val="22"/>
        </w:rPr>
        <w:t>Příloha č. I</w:t>
      </w:r>
    </w:p>
    <w:p w14:paraId="716BFD57" w14:textId="77777777" w:rsidR="005A4A52" w:rsidRDefault="009C6AC0">
      <w:pPr>
        <w:pStyle w:val="Nadpis1"/>
        <w:numPr>
          <w:ilvl w:val="0"/>
          <w:numId w:val="0"/>
        </w:numPr>
        <w:spacing w:after="170"/>
        <w:ind w:left="324"/>
        <w:jc w:val="center"/>
      </w:pPr>
      <w:r>
        <w:rPr>
          <w:sz w:val="24"/>
        </w:rPr>
        <w:t>BRONZOVÝ SERVIS</w:t>
      </w:r>
    </w:p>
    <w:p w14:paraId="56E2E565" w14:textId="77777777" w:rsidR="005A4A52" w:rsidRDefault="009C6AC0">
      <w:pPr>
        <w:ind w:left="24" w:right="979"/>
      </w:pPr>
      <w:r>
        <w:t>A. Rozsah smluvních služeb</w:t>
      </w:r>
    </w:p>
    <w:p w14:paraId="59873805" w14:textId="77777777" w:rsidR="005A4A52" w:rsidRDefault="009C6AC0">
      <w:pPr>
        <w:ind w:left="24" w:right="979"/>
      </w:pPr>
      <w:r>
        <w:t>I. Pravidelné odborné prohlídky s cílem zkontrolovat bezpečnou funkci a provoz výtahu.</w:t>
      </w:r>
    </w:p>
    <w:p w14:paraId="337CF9F9" w14:textId="77777777" w:rsidR="005A4A52" w:rsidRDefault="009C6AC0">
      <w:pPr>
        <w:spacing w:after="152"/>
        <w:ind w:left="24" w:right="979"/>
      </w:pPr>
      <w:r>
        <w:t xml:space="preserve">2. Pravidelná preventivní údržba výtahového zařízení včetně </w:t>
      </w:r>
      <w:proofErr w:type="gramStart"/>
      <w:r>
        <w:t>mazání .</w:t>
      </w:r>
      <w:proofErr w:type="gramEnd"/>
    </w:p>
    <w:p w14:paraId="5C8E9D59" w14:textId="77777777" w:rsidR="005A4A52" w:rsidRDefault="009C6AC0">
      <w:pPr>
        <w:spacing w:after="8"/>
        <w:ind w:left="31" w:right="0" w:hanging="10"/>
        <w:jc w:val="left"/>
      </w:pPr>
      <w:r>
        <w:rPr>
          <w:sz w:val="18"/>
        </w:rPr>
        <w:t>B. Rozsah prací na zakázku</w:t>
      </w:r>
    </w:p>
    <w:p w14:paraId="66373BA4" w14:textId="77777777" w:rsidR="005A4A52" w:rsidRDefault="009C6AC0">
      <w:pPr>
        <w:ind w:left="24" w:right="0"/>
      </w:pPr>
      <w:r>
        <w:t>I. Návštěva servisního technika a oprava poruchy včetně vyproštění uvízlých osob mimo stanovené hodiny, pokud o to objednatel požádá.</w:t>
      </w:r>
    </w:p>
    <w:p w14:paraId="6FF7FA63" w14:textId="77777777" w:rsidR="005A4A52" w:rsidRDefault="009C6AC0">
      <w:pPr>
        <w:numPr>
          <w:ilvl w:val="0"/>
          <w:numId w:val="1"/>
        </w:numPr>
        <w:spacing w:line="268" w:lineRule="auto"/>
        <w:ind w:right="0" w:hanging="194"/>
      </w:pPr>
      <w:r>
        <w:t>Náprava jiných než malých vad zjištěných během pravidelných odborných prohlídek nebo při odstraňováni poruchy.</w:t>
      </w:r>
    </w:p>
    <w:p w14:paraId="174D92D1" w14:textId="77777777" w:rsidR="005A4A52" w:rsidRDefault="009C6AC0">
      <w:pPr>
        <w:numPr>
          <w:ilvl w:val="0"/>
          <w:numId w:val="1"/>
        </w:numPr>
        <w:ind w:right="0" w:hanging="194"/>
      </w:pPr>
      <w:r>
        <w:t xml:space="preserve">Odborné zkoušky v souladu s ČSN 27 4007 a zkoušky vyžadované v </w:t>
      </w:r>
      <w:proofErr w:type="gramStart"/>
      <w:r>
        <w:t>periodách &gt;</w:t>
      </w:r>
      <w:proofErr w:type="gramEnd"/>
      <w:r>
        <w:t xml:space="preserve"> 2 roky.</w:t>
      </w:r>
    </w:p>
    <w:p w14:paraId="1606104E" w14:textId="77777777" w:rsidR="005A4A52" w:rsidRDefault="009C6AC0">
      <w:pPr>
        <w:numPr>
          <w:ilvl w:val="0"/>
          <w:numId w:val="1"/>
        </w:numPr>
        <w:spacing w:after="213"/>
        <w:ind w:right="0" w:hanging="194"/>
      </w:pPr>
      <w:r>
        <w:t xml:space="preserve">Čištění strojovny, prohlubně a střechy klece od nečistot vzniklých běžným provozem výtahu (nejedná se o čištění po stavbě či </w:t>
      </w:r>
      <w:proofErr w:type="spellStart"/>
      <w:r>
        <w:t>prestavbě</w:t>
      </w:r>
      <w:proofErr w:type="spellEnd"/>
      <w:r>
        <w:t xml:space="preserve">, toxických látek a </w:t>
      </w:r>
      <w:proofErr w:type="spellStart"/>
      <w:r>
        <w:t>pnisaků</w:t>
      </w:r>
      <w:proofErr w:type="spellEnd"/>
      <w:r>
        <w:t xml:space="preserve"> vody).</w:t>
      </w:r>
    </w:p>
    <w:p w14:paraId="01AC328B" w14:textId="77777777" w:rsidR="005A4A52" w:rsidRDefault="009C6AC0">
      <w:pPr>
        <w:ind w:left="24" w:right="979"/>
      </w:pPr>
      <w:r>
        <w:t>C. Nezahrnuto do smluvní ceny</w:t>
      </w:r>
    </w:p>
    <w:p w14:paraId="461BA66F" w14:textId="77777777" w:rsidR="005A4A52" w:rsidRDefault="009C6AC0">
      <w:pPr>
        <w:ind w:left="24" w:right="979"/>
      </w:pPr>
      <w:proofErr w:type="gramStart"/>
      <w:r>
        <w:t>I .Práce</w:t>
      </w:r>
      <w:proofErr w:type="gramEnd"/>
      <w:r>
        <w:t>, které jsou nařízeny /doporučeny státními orgány po počátku platnosti smlouvy .</w:t>
      </w:r>
    </w:p>
    <w:p w14:paraId="2DCCC30D" w14:textId="77777777" w:rsidR="005A4A52" w:rsidRDefault="009C6AC0">
      <w:pPr>
        <w:numPr>
          <w:ilvl w:val="0"/>
          <w:numId w:val="2"/>
        </w:numPr>
        <w:spacing w:after="8"/>
        <w:ind w:right="490" w:hanging="209"/>
        <w:jc w:val="left"/>
      </w:pPr>
      <w:r>
        <w:rPr>
          <w:sz w:val="18"/>
        </w:rPr>
        <w:t xml:space="preserve">Práce, které jsou zapříčiněny nesprávným používáním výtahu, </w:t>
      </w:r>
      <w:proofErr w:type="gramStart"/>
      <w:r>
        <w:rPr>
          <w:sz w:val="18"/>
        </w:rPr>
        <w:t>vandalstvím ,</w:t>
      </w:r>
      <w:proofErr w:type="gramEnd"/>
      <w:r>
        <w:rPr>
          <w:sz w:val="18"/>
        </w:rPr>
        <w:t xml:space="preserve"> nedostatky budovy nebo vyšší mocí.</w:t>
      </w:r>
    </w:p>
    <w:p w14:paraId="23638238" w14:textId="77777777" w:rsidR="005A4A52" w:rsidRDefault="009C6AC0">
      <w:pPr>
        <w:numPr>
          <w:ilvl w:val="0"/>
          <w:numId w:val="2"/>
        </w:numPr>
        <w:ind w:right="490" w:hanging="209"/>
        <w:jc w:val="left"/>
      </w:pPr>
      <w:r>
        <w:t>Práce následující po nehodě způsobené uživatelem nebo provozovatelem výtahu.</w:t>
      </w:r>
    </w:p>
    <w:p w14:paraId="3B877689" w14:textId="77777777" w:rsidR="005A4A52" w:rsidRDefault="009C6AC0">
      <w:pPr>
        <w:numPr>
          <w:ilvl w:val="0"/>
          <w:numId w:val="2"/>
        </w:numPr>
        <w:ind w:right="490" w:hanging="209"/>
        <w:jc w:val="left"/>
      </w:pPr>
      <w:r>
        <w:t>Veškerý materiál použitý pro jiné účely než pro pravidelnou preventivní údržbu nebo čištění.</w:t>
      </w:r>
    </w:p>
    <w:p w14:paraId="56DB3797" w14:textId="77777777" w:rsidR="005A4A52" w:rsidRDefault="009C6AC0">
      <w:pPr>
        <w:numPr>
          <w:ilvl w:val="0"/>
          <w:numId w:val="2"/>
        </w:numPr>
        <w:spacing w:after="901"/>
        <w:ind w:right="490" w:hanging="209"/>
        <w:jc w:val="left"/>
      </w:pPr>
      <w:r>
        <w:rPr>
          <w:sz w:val="18"/>
        </w:rPr>
        <w:t>Pravidelné (</w:t>
      </w:r>
      <w:proofErr w:type="spellStart"/>
      <w:r>
        <w:rPr>
          <w:sz w:val="18"/>
        </w:rPr>
        <w:t>Ix</w:t>
      </w:r>
      <w:proofErr w:type="spellEnd"/>
      <w:r>
        <w:rPr>
          <w:sz w:val="18"/>
        </w:rPr>
        <w:t xml:space="preserve"> za 2 </w:t>
      </w:r>
      <w:proofErr w:type="gramStart"/>
      <w:r>
        <w:rPr>
          <w:sz w:val="18"/>
        </w:rPr>
        <w:t>týdny )</w:t>
      </w:r>
      <w:proofErr w:type="gramEnd"/>
      <w:r>
        <w:rPr>
          <w:sz w:val="18"/>
        </w:rPr>
        <w:t xml:space="preserve"> provozní prohlídky dostupných nebo viditelných částí výtahu s cílem zajistit jejich funkci bude provádět objednatel.</w:t>
      </w:r>
    </w:p>
    <w:p w14:paraId="32F0832F" w14:textId="77777777" w:rsidR="005A4A52" w:rsidRDefault="009C6AC0">
      <w:pPr>
        <w:spacing w:after="102" w:line="259" w:lineRule="auto"/>
        <w:ind w:left="302" w:right="0" w:firstLine="0"/>
        <w:jc w:val="center"/>
      </w:pPr>
      <w:r>
        <w:rPr>
          <w:sz w:val="24"/>
        </w:rPr>
        <w:t xml:space="preserve">Dispečink pro hlášení </w:t>
      </w:r>
      <w:proofErr w:type="gramStart"/>
      <w:r>
        <w:rPr>
          <w:sz w:val="24"/>
        </w:rPr>
        <w:t>oprav :</w:t>
      </w:r>
      <w:proofErr w:type="gramEnd"/>
      <w:r>
        <w:rPr>
          <w:sz w:val="24"/>
        </w:rPr>
        <w:t xml:space="preserve"> tel. 257293123</w:t>
      </w:r>
    </w:p>
    <w:tbl>
      <w:tblPr>
        <w:tblStyle w:val="TableGrid"/>
        <w:tblW w:w="8345" w:type="dxa"/>
        <w:tblInd w:w="108" w:type="dxa"/>
        <w:tblCellMar>
          <w:top w:w="14" w:type="dxa"/>
          <w:left w:w="2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046"/>
        <w:gridCol w:w="1085"/>
        <w:gridCol w:w="878"/>
        <w:gridCol w:w="1666"/>
        <w:gridCol w:w="1670"/>
      </w:tblGrid>
      <w:tr w:rsidR="005A4A52" w14:paraId="001B422B" w14:textId="77777777">
        <w:trPr>
          <w:trHeight w:val="732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680E" w14:textId="77777777" w:rsidR="005A4A52" w:rsidRDefault="009C6AC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A0C105E" wp14:editId="4BDCBDBD">
                  <wp:extent cx="1897380" cy="448056"/>
                  <wp:effectExtent l="0" t="0" r="0" b="0"/>
                  <wp:docPr id="19819" name="Picture 1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" name="Picture 198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D3F4" w14:textId="77777777" w:rsidR="005A4A52" w:rsidRDefault="009C6AC0">
            <w:pPr>
              <w:spacing w:after="0" w:line="259" w:lineRule="auto"/>
              <w:ind w:left="3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E67E276" wp14:editId="2267AACD">
                  <wp:extent cx="626364" cy="438912"/>
                  <wp:effectExtent l="0" t="0" r="0" b="0"/>
                  <wp:docPr id="19821" name="Picture 19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1" name="Picture 1982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0FC93" w14:textId="77777777" w:rsidR="005A4A52" w:rsidRDefault="009C6AC0">
            <w:pPr>
              <w:spacing w:after="0" w:line="259" w:lineRule="auto"/>
              <w:ind w:left="46" w:right="0" w:hanging="7"/>
              <w:jc w:val="left"/>
            </w:pPr>
            <w:r>
              <w:t>Typ výtahu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67170" w14:textId="77777777" w:rsidR="005A4A52" w:rsidRDefault="009C6AC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>Cena čtvrtletně</w:t>
            </w:r>
          </w:p>
          <w:p w14:paraId="354AADF4" w14:textId="77777777" w:rsidR="005A4A52" w:rsidRDefault="009C6AC0">
            <w:pPr>
              <w:spacing w:after="0" w:line="259" w:lineRule="auto"/>
              <w:ind w:left="46" w:right="0" w:firstLine="0"/>
              <w:jc w:val="left"/>
            </w:pPr>
            <w:r>
              <w:t>Kč/výtah bez</w:t>
            </w:r>
          </w:p>
          <w:p w14:paraId="0D00426F" w14:textId="77777777" w:rsidR="005A4A52" w:rsidRDefault="009C6AC0">
            <w:pPr>
              <w:spacing w:after="0" w:line="259" w:lineRule="auto"/>
              <w:ind w:left="46" w:right="0" w:firstLine="0"/>
              <w:jc w:val="left"/>
            </w:pPr>
            <w:r>
              <w:t>DPI 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592A" w14:textId="77777777" w:rsidR="005A4A52" w:rsidRDefault="009C6AC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Cena </w:t>
            </w:r>
            <w:proofErr w:type="spellStart"/>
            <w:r>
              <w:rPr>
                <w:sz w:val="22"/>
              </w:rPr>
              <w:t>čtvrtletné</w:t>
            </w:r>
            <w:proofErr w:type="spellEnd"/>
          </w:p>
          <w:p w14:paraId="74C68CFA" w14:textId="77777777" w:rsidR="005A4A52" w:rsidRDefault="009C6AC0">
            <w:pPr>
              <w:spacing w:after="0" w:line="259" w:lineRule="auto"/>
              <w:ind w:left="36" w:right="0" w:firstLine="0"/>
              <w:jc w:val="left"/>
            </w:pPr>
            <w:r>
              <w:t>Kč/</w:t>
            </w:r>
            <w:proofErr w:type="spellStart"/>
            <w:r>
              <w:t>výtall</w:t>
            </w:r>
            <w:proofErr w:type="spellEnd"/>
            <w:r>
              <w:t xml:space="preserve"> s DPH</w:t>
            </w:r>
          </w:p>
        </w:tc>
      </w:tr>
      <w:tr w:rsidR="005A4A52" w14:paraId="28DCCDD3" w14:textId="77777777">
        <w:trPr>
          <w:trHeight w:val="403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1C1A" w14:textId="77777777" w:rsidR="005A4A52" w:rsidRDefault="009C6AC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Sídlištní 136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D8EE" w14:textId="77777777" w:rsidR="005A4A52" w:rsidRDefault="009C6AC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050318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EF43" w14:textId="77777777" w:rsidR="005A4A52" w:rsidRDefault="009C6AC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A2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BE25" w14:textId="77777777" w:rsidR="005A4A52" w:rsidRDefault="009C6AC0">
            <w:pPr>
              <w:spacing w:after="0" w:line="259" w:lineRule="auto"/>
              <w:ind w:left="7" w:right="0" w:firstLine="0"/>
              <w:jc w:val="center"/>
            </w:pPr>
            <w:proofErr w:type="gramStart"/>
            <w:r>
              <w:rPr>
                <w:sz w:val="18"/>
              </w:rPr>
              <w:t>1082,OO</w:t>
            </w:r>
            <w:proofErr w:type="gramEnd"/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4855C" w14:textId="77777777" w:rsidR="005A4A52" w:rsidRDefault="009C6AC0">
            <w:pPr>
              <w:spacing w:after="0" w:line="259" w:lineRule="auto"/>
              <w:ind w:left="26" w:right="0" w:firstLine="0"/>
              <w:jc w:val="center"/>
            </w:pPr>
            <w:r>
              <w:t>1287,58</w:t>
            </w:r>
          </w:p>
        </w:tc>
      </w:tr>
      <w:tr w:rsidR="005A4A52" w14:paraId="5617438D" w14:textId="77777777">
        <w:trPr>
          <w:trHeight w:val="410"/>
        </w:trPr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0E25B" w14:textId="77777777" w:rsidR="005A4A52" w:rsidRDefault="009C6AC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Sídlištní 136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9A92" w14:textId="77777777" w:rsidR="005A4A52" w:rsidRDefault="009C6AC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050326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A0E4" w14:textId="77777777" w:rsidR="005A4A52" w:rsidRDefault="009C6AC0">
            <w:pPr>
              <w:spacing w:after="0" w:line="259" w:lineRule="auto"/>
              <w:ind w:left="0" w:right="26" w:firstLine="0"/>
              <w:jc w:val="center"/>
            </w:pPr>
            <w:r>
              <w:t>A2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1A1B" w14:textId="77777777" w:rsidR="005A4A52" w:rsidRDefault="009C6AC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1258,00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3807" w14:textId="77777777" w:rsidR="005A4A52" w:rsidRDefault="009C6AC0">
            <w:pPr>
              <w:spacing w:after="0" w:line="259" w:lineRule="auto"/>
              <w:ind w:left="26" w:right="0" w:firstLine="0"/>
              <w:jc w:val="center"/>
            </w:pPr>
            <w:r>
              <w:t>1497,02</w:t>
            </w:r>
          </w:p>
        </w:tc>
      </w:tr>
      <w:tr w:rsidR="005A4A52" w14:paraId="3A01B72B" w14:textId="77777777">
        <w:trPr>
          <w:trHeight w:val="410"/>
        </w:trPr>
        <w:tc>
          <w:tcPr>
            <w:tcW w:w="5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5E59" w14:textId="77777777" w:rsidR="005A4A52" w:rsidRDefault="009C6AC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Celkem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B6C46" w14:textId="77777777" w:rsidR="005A4A52" w:rsidRDefault="009C6AC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2340,00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A182" w14:textId="77777777" w:rsidR="005A4A52" w:rsidRDefault="009C6AC0">
            <w:pPr>
              <w:spacing w:after="0" w:line="259" w:lineRule="auto"/>
              <w:ind w:left="0" w:right="10" w:firstLine="0"/>
              <w:jc w:val="center"/>
            </w:pPr>
            <w:r>
              <w:t>2784,60</w:t>
            </w:r>
          </w:p>
        </w:tc>
      </w:tr>
    </w:tbl>
    <w:p w14:paraId="6EDCB646" w14:textId="56C9EB26" w:rsidR="005A4A52" w:rsidRDefault="009C6AC0">
      <w:pPr>
        <w:spacing w:after="343"/>
        <w:ind w:left="24" w:right="979"/>
      </w:pPr>
      <w:proofErr w:type="spellStart"/>
      <w:r>
        <w:t>ObjednatelZhotovitel</w:t>
      </w:r>
      <w:proofErr w:type="spellEnd"/>
      <w:r>
        <w:t xml:space="preserve"> •</w:t>
      </w:r>
    </w:p>
    <w:p w14:paraId="4E6D5FD9" w14:textId="77777777" w:rsidR="005A4A52" w:rsidRDefault="005A4A52">
      <w:pPr>
        <w:sectPr w:rsidR="005A4A52">
          <w:type w:val="continuous"/>
          <w:pgSz w:w="11902" w:h="16834"/>
          <w:pgMar w:top="1784" w:right="1879" w:bottom="1318" w:left="1555" w:header="708" w:footer="708" w:gutter="0"/>
          <w:cols w:space="708"/>
        </w:sectPr>
      </w:pPr>
    </w:p>
    <w:p w14:paraId="5502EB1C" w14:textId="77777777" w:rsidR="005A4A52" w:rsidRDefault="009C6AC0">
      <w:pPr>
        <w:spacing w:after="0" w:line="259" w:lineRule="auto"/>
        <w:ind w:left="-1440" w:right="104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4D22679E" wp14:editId="3BEDEF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9825" name="Picture 19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" name="Picture 198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A52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0732"/>
    <w:multiLevelType w:val="hybridMultilevel"/>
    <w:tmpl w:val="8B7457BE"/>
    <w:lvl w:ilvl="0" w:tplc="64D267A6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CDA9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676D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4020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AA927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8C81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A5B5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CE13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ED9A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50191"/>
    <w:multiLevelType w:val="hybridMultilevel"/>
    <w:tmpl w:val="70FE1E58"/>
    <w:lvl w:ilvl="0" w:tplc="6C2EBFC6">
      <w:start w:val="2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682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2DE4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CF6A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06A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694A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4A9B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A589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53B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E5C56"/>
    <w:multiLevelType w:val="hybridMultilevel"/>
    <w:tmpl w:val="23E46352"/>
    <w:lvl w:ilvl="0" w:tplc="D3F886DC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A24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668A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012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E0CA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A84A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CD74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00B6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64A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6718505">
    <w:abstractNumId w:val="1"/>
  </w:num>
  <w:num w:numId="2" w16cid:durableId="2144811979">
    <w:abstractNumId w:val="0"/>
  </w:num>
  <w:num w:numId="3" w16cid:durableId="4831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52"/>
    <w:rsid w:val="005A4A52"/>
    <w:rsid w:val="00934765"/>
    <w:rsid w:val="009C6AC0"/>
    <w:rsid w:val="00D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25D1"/>
  <w15:docId w15:val="{F8922411-672D-46A9-972B-1CFB1A6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2876" w:right="281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1" w:line="259" w:lineRule="auto"/>
      <w:ind w:left="183" w:hanging="10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1297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cp:lastModifiedBy>Ivana Hrubá</cp:lastModifiedBy>
  <cp:revision>3</cp:revision>
  <dcterms:created xsi:type="dcterms:W3CDTF">2025-01-17T13:26:00Z</dcterms:created>
  <dcterms:modified xsi:type="dcterms:W3CDTF">2025-01-17T13:28:00Z</dcterms:modified>
</cp:coreProperties>
</file>