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4498" w14:textId="64B023D7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B64E49">
        <w:rPr>
          <w:rFonts w:ascii="Arial" w:hAnsi="Arial" w:cs="Arial"/>
          <w:b/>
          <w:sz w:val="24"/>
          <w:szCs w:val="24"/>
        </w:rPr>
        <w:t xml:space="preserve"> 2025/57/NM</w:t>
      </w:r>
    </w:p>
    <w:p w14:paraId="06B8D81D" w14:textId="0BEBCEEA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B64E49">
        <w:rPr>
          <w:rFonts w:ascii="Arial" w:hAnsi="Arial" w:cs="Arial"/>
          <w:b/>
          <w:sz w:val="24"/>
          <w:szCs w:val="24"/>
        </w:rPr>
        <w:t>250010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3EBA5F7" w14:textId="34F22BD1" w:rsidR="00135BB1" w:rsidRPr="00587D3E" w:rsidRDefault="001C3446" w:rsidP="00807875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AVT Group a.s.</w:t>
      </w:r>
    </w:p>
    <w:p w14:paraId="03EBA5F8" w14:textId="636D9321" w:rsidR="00135BB1" w:rsidRPr="001C3446" w:rsidRDefault="00135BB1" w:rsidP="001C3446">
      <w:pPr>
        <w:pStyle w:val="Nadpis2"/>
        <w:shd w:val="clear" w:color="auto" w:fill="FFFFFF"/>
        <w:rPr>
          <w:rFonts w:ascii="Arial" w:hAnsi="Arial" w:cs="Arial"/>
          <w:color w:val="1A1A18"/>
          <w:szCs w:val="24"/>
        </w:rPr>
      </w:pPr>
      <w:r w:rsidRPr="001C3446">
        <w:rPr>
          <w:rFonts w:ascii="Arial" w:hAnsi="Arial" w:cs="Arial"/>
          <w:color w:val="1A1A18"/>
          <w:szCs w:val="24"/>
        </w:rPr>
        <w:t xml:space="preserve">se sídlem </w:t>
      </w:r>
      <w:r w:rsidR="001C3446" w:rsidRPr="001C3446">
        <w:rPr>
          <w:rFonts w:ascii="Arial" w:hAnsi="Arial" w:cs="Arial"/>
          <w:color w:val="1A1A18"/>
          <w:szCs w:val="24"/>
        </w:rPr>
        <w:t>V Lomech 2376/10a, 14900 Praha 4</w:t>
      </w:r>
    </w:p>
    <w:p w14:paraId="03EBA5F9" w14:textId="23B31F12" w:rsidR="00135BB1" w:rsidRPr="001C3446" w:rsidRDefault="00135BB1" w:rsidP="00807875">
      <w:pPr>
        <w:pStyle w:val="Nadpis2"/>
        <w:shd w:val="clear" w:color="auto" w:fill="FFFFFF"/>
        <w:rPr>
          <w:rFonts w:ascii="Arial" w:hAnsi="Arial" w:cs="Arial"/>
          <w:color w:val="1A1A18"/>
          <w:szCs w:val="24"/>
        </w:rPr>
      </w:pPr>
      <w:r w:rsidRPr="001C3446">
        <w:rPr>
          <w:rFonts w:ascii="Arial" w:hAnsi="Arial" w:cs="Arial"/>
          <w:color w:val="1A1A18"/>
          <w:szCs w:val="24"/>
        </w:rPr>
        <w:t xml:space="preserve">IČ: </w:t>
      </w:r>
      <w:r w:rsidR="001C3446">
        <w:rPr>
          <w:rFonts w:ascii="Arial" w:hAnsi="Arial" w:cs="Arial"/>
          <w:color w:val="1A1A18"/>
          <w:szCs w:val="24"/>
        </w:rPr>
        <w:t>01691988</w:t>
      </w:r>
      <w:r w:rsidR="007825B1" w:rsidRPr="001C3446">
        <w:rPr>
          <w:rFonts w:ascii="Arial" w:hAnsi="Arial" w:cs="Arial"/>
          <w:color w:val="1A1A18"/>
          <w:szCs w:val="24"/>
        </w:rPr>
        <w:t>, DIČ:</w:t>
      </w:r>
      <w:r w:rsidR="001C3446" w:rsidRPr="001C3446">
        <w:rPr>
          <w:rFonts w:ascii="Arial" w:hAnsi="Arial" w:cs="Arial"/>
          <w:color w:val="1A1A18"/>
          <w:szCs w:val="24"/>
        </w:rPr>
        <w:t>CZ</w:t>
      </w:r>
      <w:r w:rsidR="001C3446">
        <w:rPr>
          <w:rFonts w:ascii="Arial" w:hAnsi="Arial" w:cs="Arial"/>
          <w:color w:val="1A1A18"/>
          <w:szCs w:val="24"/>
        </w:rPr>
        <w:t>01691988</w:t>
      </w:r>
    </w:p>
    <w:p w14:paraId="1579206B" w14:textId="2BEE0864" w:rsidR="000C5A20" w:rsidRPr="001C3446" w:rsidRDefault="000C5A20" w:rsidP="001C3446">
      <w:pPr>
        <w:pStyle w:val="Nadpis2"/>
        <w:shd w:val="clear" w:color="auto" w:fill="FFFFFF"/>
        <w:rPr>
          <w:rFonts w:ascii="Arial" w:hAnsi="Arial" w:cs="Arial"/>
          <w:color w:val="1A1A18"/>
          <w:szCs w:val="24"/>
        </w:rPr>
      </w:pPr>
      <w:r w:rsidRPr="001C3446">
        <w:rPr>
          <w:rFonts w:ascii="Arial" w:hAnsi="Arial" w:cs="Arial"/>
          <w:color w:val="1A1A18"/>
          <w:szCs w:val="24"/>
        </w:rPr>
        <w:t xml:space="preserve">Bankovní účet: </w:t>
      </w:r>
      <w:r w:rsidR="001C3446" w:rsidRPr="001C3446">
        <w:rPr>
          <w:rFonts w:ascii="Arial" w:hAnsi="Arial" w:cs="Arial"/>
          <w:color w:val="1A1A18"/>
          <w:szCs w:val="24"/>
        </w:rPr>
        <w:t xml:space="preserve"> </w:t>
      </w:r>
      <w:r w:rsidR="00BF5225">
        <w:rPr>
          <w:rFonts w:ascii="Arial" w:hAnsi="Arial" w:cs="Arial"/>
          <w:color w:val="1A1A18"/>
          <w:szCs w:val="24"/>
        </w:rPr>
        <w:t>xxxxxxxxxxxxxxxxxxxx</w:t>
      </w:r>
    </w:p>
    <w:p w14:paraId="03EBA5FA" w14:textId="4431F511" w:rsidR="00135BB1" w:rsidRPr="001C3446" w:rsidRDefault="002E350C" w:rsidP="001C3446">
      <w:pPr>
        <w:pStyle w:val="Nadpis2"/>
        <w:shd w:val="clear" w:color="auto" w:fill="FFFFFF"/>
        <w:rPr>
          <w:rFonts w:ascii="Arial" w:hAnsi="Arial" w:cs="Arial"/>
          <w:color w:val="1A1A18"/>
          <w:szCs w:val="24"/>
        </w:rPr>
      </w:pPr>
      <w:r w:rsidRPr="001C3446">
        <w:rPr>
          <w:rFonts w:ascii="Arial" w:hAnsi="Arial" w:cs="Arial"/>
          <w:color w:val="1A1A18"/>
          <w:szCs w:val="24"/>
        </w:rPr>
        <w:t>Z</w:t>
      </w:r>
      <w:r w:rsidR="00135BB1" w:rsidRPr="001C3446">
        <w:rPr>
          <w:rFonts w:ascii="Arial" w:hAnsi="Arial" w:cs="Arial"/>
          <w:color w:val="1A1A18"/>
          <w:szCs w:val="24"/>
        </w:rPr>
        <w:t>ast</w:t>
      </w:r>
      <w:r w:rsidRPr="001C3446">
        <w:rPr>
          <w:rFonts w:ascii="Arial" w:hAnsi="Arial" w:cs="Arial"/>
          <w:color w:val="1A1A18"/>
          <w:szCs w:val="24"/>
        </w:rPr>
        <w:t xml:space="preserve">.: </w:t>
      </w:r>
      <w:r w:rsidR="001C3446" w:rsidRPr="001C3446">
        <w:rPr>
          <w:rFonts w:ascii="Arial" w:hAnsi="Arial" w:cs="Arial"/>
          <w:color w:val="1A1A18"/>
          <w:szCs w:val="24"/>
        </w:rPr>
        <w:t xml:space="preserve">Ing. Petrem Vlčkem, jediným členem představenstva </w:t>
      </w:r>
      <w:r w:rsidRPr="001C3446">
        <w:rPr>
          <w:rFonts w:ascii="Arial" w:hAnsi="Arial" w:cs="Arial"/>
          <w:color w:val="1A1A18"/>
          <w:szCs w:val="24"/>
        </w:rPr>
        <w:t xml:space="preserve"> </w:t>
      </w:r>
    </w:p>
    <w:p w14:paraId="03EBA5FB" w14:textId="5D1562A6" w:rsidR="00135BB1" w:rsidRPr="001C3446" w:rsidRDefault="00135BB1" w:rsidP="001C3446">
      <w:pPr>
        <w:pStyle w:val="Nadpis2"/>
        <w:shd w:val="clear" w:color="auto" w:fill="FFFFFF"/>
        <w:rPr>
          <w:rFonts w:ascii="Arial" w:hAnsi="Arial" w:cs="Arial"/>
          <w:color w:val="1A1A18"/>
          <w:szCs w:val="24"/>
        </w:rPr>
      </w:pPr>
      <w:r w:rsidRPr="001C3446">
        <w:rPr>
          <w:rFonts w:ascii="Arial" w:hAnsi="Arial" w:cs="Arial"/>
          <w:color w:val="1A1A18"/>
          <w:szCs w:val="24"/>
        </w:rPr>
        <w:t xml:space="preserve">zapsaná v obchodním rejstříku vedeném </w:t>
      </w:r>
      <w:r w:rsidR="001C3446" w:rsidRPr="001C3446">
        <w:rPr>
          <w:rFonts w:ascii="Arial" w:hAnsi="Arial" w:cs="Arial"/>
          <w:color w:val="1A1A18"/>
          <w:szCs w:val="24"/>
        </w:rPr>
        <w:t>Městským</w:t>
      </w:r>
      <w:r w:rsidRPr="001C3446">
        <w:rPr>
          <w:rFonts w:ascii="Arial" w:hAnsi="Arial" w:cs="Arial"/>
          <w:color w:val="1A1A18"/>
          <w:szCs w:val="24"/>
        </w:rPr>
        <w:t xml:space="preserve"> soudem v </w:t>
      </w:r>
      <w:r w:rsidR="001C3446" w:rsidRPr="001C3446">
        <w:rPr>
          <w:rFonts w:ascii="Arial" w:hAnsi="Arial" w:cs="Arial"/>
          <w:color w:val="1A1A18"/>
          <w:szCs w:val="24"/>
        </w:rPr>
        <w:t>Praze</w:t>
      </w:r>
      <w:r w:rsidRPr="001C3446">
        <w:rPr>
          <w:rFonts w:ascii="Arial" w:hAnsi="Arial" w:cs="Arial"/>
          <w:color w:val="1A1A18"/>
          <w:szCs w:val="24"/>
        </w:rPr>
        <w:t xml:space="preserve"> oddíl </w:t>
      </w:r>
      <w:r w:rsidR="001C3446" w:rsidRPr="001C3446">
        <w:rPr>
          <w:rFonts w:ascii="Arial" w:hAnsi="Arial" w:cs="Arial"/>
          <w:color w:val="1A1A18"/>
          <w:szCs w:val="24"/>
        </w:rPr>
        <w:t>B,</w:t>
      </w:r>
      <w:r w:rsidRPr="001C3446">
        <w:rPr>
          <w:rFonts w:ascii="Arial" w:hAnsi="Arial" w:cs="Arial"/>
          <w:color w:val="1A1A18"/>
          <w:szCs w:val="24"/>
        </w:rPr>
        <w:t xml:space="preserve"> vložka </w:t>
      </w:r>
      <w:r w:rsidR="001C3446" w:rsidRPr="001C3446">
        <w:rPr>
          <w:rFonts w:ascii="Arial" w:hAnsi="Arial" w:cs="Arial"/>
          <w:color w:val="1A1A18"/>
          <w:szCs w:val="24"/>
        </w:rPr>
        <w:t>19128</w:t>
      </w:r>
    </w:p>
    <w:p w14:paraId="03EBA5FD" w14:textId="77777777" w:rsidR="00135BB1" w:rsidRPr="001C3446" w:rsidRDefault="00135BB1" w:rsidP="001C3446">
      <w:pPr>
        <w:pStyle w:val="Nadpis2"/>
        <w:shd w:val="clear" w:color="auto" w:fill="FFFFFF"/>
        <w:rPr>
          <w:rFonts w:ascii="Arial" w:hAnsi="Arial" w:cs="Arial"/>
          <w:color w:val="1A1A18"/>
          <w:szCs w:val="24"/>
        </w:rPr>
      </w:pPr>
      <w:r w:rsidRPr="001C3446">
        <w:rPr>
          <w:rFonts w:ascii="Arial" w:hAnsi="Arial" w:cs="Arial"/>
          <w:color w:val="1A1A18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66D159B6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>VZ</w:t>
      </w:r>
      <w:r w:rsidR="00B64E49">
        <w:rPr>
          <w:rFonts w:ascii="Arial" w:hAnsi="Arial" w:cs="Arial"/>
          <w:sz w:val="24"/>
          <w:szCs w:val="24"/>
        </w:rPr>
        <w:t xml:space="preserve">240341, </w:t>
      </w:r>
      <w:r w:rsidR="00FD12F9" w:rsidRPr="00587D3E">
        <w:rPr>
          <w:rFonts w:ascii="Arial" w:hAnsi="Arial" w:cs="Arial"/>
          <w:sz w:val="24"/>
          <w:szCs w:val="24"/>
        </w:rPr>
        <w:t xml:space="preserve"> </w:t>
      </w:r>
      <w:r w:rsidR="00C911C7" w:rsidRPr="00C911C7">
        <w:rPr>
          <w:rFonts w:ascii="Arial" w:hAnsi="Arial" w:cs="Arial"/>
          <w:sz w:val="24"/>
          <w:szCs w:val="24"/>
        </w:rPr>
        <w:t xml:space="preserve">N006/24/V00040036 - hardware do výstav - audiovizuální zařízení,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465A0BB7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</w:t>
      </w:r>
      <w:r w:rsidR="00382A93">
        <w:rPr>
          <w:rFonts w:cs="Arial"/>
          <w:szCs w:val="24"/>
        </w:rPr>
        <w:t>do 20.1.2025</w:t>
      </w:r>
      <w:r w:rsidRPr="00587D3E">
        <w:rPr>
          <w:rFonts w:cs="Arial"/>
          <w:szCs w:val="24"/>
        </w:rPr>
        <w:t xml:space="preserve"> 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331524BF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545574">
        <w:rPr>
          <w:rFonts w:cs="Arial"/>
          <w:szCs w:val="24"/>
        </w:rPr>
        <w:t>415 300</w:t>
      </w:r>
      <w:r w:rsidR="00C911C7">
        <w:rPr>
          <w:rFonts w:cs="Arial"/>
          <w:szCs w:val="24"/>
        </w:rPr>
        <w:t>,-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545574">
        <w:rPr>
          <w:rFonts w:cs="Arial"/>
          <w:szCs w:val="24"/>
        </w:rPr>
        <w:t>87</w:t>
      </w:r>
      <w:r w:rsidR="00C911C7">
        <w:rPr>
          <w:rFonts w:cs="Arial"/>
          <w:szCs w:val="24"/>
        </w:rPr>
        <w:t> </w:t>
      </w:r>
      <w:r w:rsidR="00545574">
        <w:rPr>
          <w:rFonts w:cs="Arial"/>
          <w:szCs w:val="24"/>
        </w:rPr>
        <w:t>213</w:t>
      </w:r>
      <w:r w:rsidR="00C911C7">
        <w:rPr>
          <w:rFonts w:cs="Arial"/>
          <w:szCs w:val="24"/>
        </w:rPr>
        <w:t>,-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 xml:space="preserve">vč. DPH </w:t>
      </w:r>
      <w:r w:rsidR="00545574">
        <w:rPr>
          <w:rFonts w:cs="Arial"/>
          <w:szCs w:val="24"/>
        </w:rPr>
        <w:t>502 513</w:t>
      </w:r>
      <w:r w:rsidR="00C911C7">
        <w:rPr>
          <w:rFonts w:cs="Arial"/>
          <w:szCs w:val="24"/>
        </w:rPr>
        <w:t>,-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50E073BB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</w:t>
      </w:r>
      <w:r w:rsidR="0084392A">
        <w:rPr>
          <w:rFonts w:ascii="Arial" w:hAnsi="Arial" w:cs="Arial"/>
          <w:szCs w:val="24"/>
        </w:rPr>
        <w:t>30</w:t>
      </w:r>
      <w:r w:rsidRPr="00587D3E">
        <w:rPr>
          <w:rFonts w:ascii="Arial" w:hAnsi="Arial" w:cs="Arial"/>
          <w:szCs w:val="24"/>
        </w:rPr>
        <w:t xml:space="preserve">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2E1F73BF" w:rsidR="006B0546" w:rsidRPr="00587D3E" w:rsidRDefault="00BF5225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</w:t>
            </w: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3C9FC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  <w:p w14:paraId="5DC04160" w14:textId="77777777" w:rsidR="00BF5225" w:rsidRDefault="00BF522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22D7FF06" w:rsidR="00BF5225" w:rsidRPr="00587D3E" w:rsidRDefault="00BF5225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6" w14:textId="0C226E74" w:rsidR="006B0546" w:rsidRPr="00587D3E" w:rsidRDefault="00B64E49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446">
              <w:rPr>
                <w:rFonts w:ascii="Arial" w:hAnsi="Arial" w:cs="Arial"/>
                <w:color w:val="1A1A18"/>
                <w:szCs w:val="24"/>
              </w:rPr>
              <w:t>Ing. Petr Vlč</w:t>
            </w:r>
            <w:r>
              <w:rPr>
                <w:rFonts w:ascii="Arial" w:hAnsi="Arial" w:cs="Arial"/>
                <w:color w:val="1A1A18"/>
                <w:szCs w:val="24"/>
              </w:rPr>
              <w:t>ek</w:t>
            </w:r>
            <w:r w:rsidRPr="001C3446">
              <w:rPr>
                <w:rFonts w:ascii="Arial" w:hAnsi="Arial" w:cs="Arial"/>
                <w:color w:val="1A1A18"/>
                <w:szCs w:val="24"/>
              </w:rPr>
              <w:t xml:space="preserve">, jediný člen představenstva  </w:t>
            </w: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9" w14:textId="02553988" w:rsidR="006B0546" w:rsidRPr="00B64E49" w:rsidRDefault="00B64E49" w:rsidP="001F11DE">
            <w:pPr>
              <w:jc w:val="center"/>
              <w:rPr>
                <w:rFonts w:ascii="Arial" w:hAnsi="Arial" w:cs="Arial"/>
              </w:rPr>
            </w:pPr>
            <w:r w:rsidRPr="00B64E49">
              <w:rPr>
                <w:rFonts w:ascii="Arial" w:hAnsi="Arial" w:cs="Arial"/>
              </w:rPr>
              <w:t xml:space="preserve">Ing. Martin Souček, PhD., ředitel Odboru digitalizace a informačních systémů </w:t>
            </w: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8B81A5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15A09B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C3F37D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CEE1DB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19F451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ED6584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BF766A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C7B252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FBE139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F12FE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615029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AD60C2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317591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7C2802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0DE462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4BAEE3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7F995A" w14:textId="77777777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841080" w14:textId="4BDD692C" w:rsidR="00B64E49" w:rsidRDefault="00B64E49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</w:t>
      </w:r>
      <w:r w:rsidR="0067028B">
        <w:rPr>
          <w:rFonts w:ascii="Arial" w:hAnsi="Arial" w:cs="Arial"/>
          <w:sz w:val="24"/>
          <w:szCs w:val="24"/>
        </w:rPr>
        <w:t>1:</w:t>
      </w:r>
    </w:p>
    <w:p w14:paraId="3F8D98F0" w14:textId="77777777" w:rsidR="00212DED" w:rsidRPr="00212DED" w:rsidRDefault="00212DED" w:rsidP="006B0546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Style w:val="Mkatabulky"/>
        <w:tblW w:w="9413" w:type="dxa"/>
        <w:tblLook w:val="04A0" w:firstRow="1" w:lastRow="0" w:firstColumn="1" w:lastColumn="0" w:noHBand="0" w:noVBand="1"/>
      </w:tblPr>
      <w:tblGrid>
        <w:gridCol w:w="700"/>
        <w:gridCol w:w="1241"/>
        <w:gridCol w:w="3583"/>
        <w:gridCol w:w="1548"/>
        <w:gridCol w:w="871"/>
        <w:gridCol w:w="581"/>
        <w:gridCol w:w="889"/>
      </w:tblGrid>
      <w:tr w:rsidR="000D471F" w:rsidRPr="003D4138" w14:paraId="42D10676" w14:textId="77777777" w:rsidTr="000D471F">
        <w:trPr>
          <w:trHeight w:val="600"/>
        </w:trPr>
        <w:tc>
          <w:tcPr>
            <w:tcW w:w="700" w:type="dxa"/>
            <w:noWrap/>
            <w:hideMark/>
          </w:tcPr>
          <w:p w14:paraId="4229B0F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547771A9" w14:textId="77777777" w:rsidR="000D471F" w:rsidRPr="003D4138" w:rsidRDefault="000D471F" w:rsidP="007F517B">
            <w:pPr>
              <w:ind w:right="141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Název výrobku</w:t>
            </w:r>
          </w:p>
        </w:tc>
        <w:tc>
          <w:tcPr>
            <w:tcW w:w="3583" w:type="dxa"/>
            <w:hideMark/>
          </w:tcPr>
          <w:p w14:paraId="0550507E" w14:textId="77777777" w:rsidR="000D471F" w:rsidRPr="003D4138" w:rsidRDefault="000D471F" w:rsidP="003D4138">
            <w:pPr>
              <w:ind w:left="-156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Technické parametry</w:t>
            </w:r>
          </w:p>
        </w:tc>
        <w:tc>
          <w:tcPr>
            <w:tcW w:w="1548" w:type="dxa"/>
            <w:noWrap/>
            <w:hideMark/>
          </w:tcPr>
          <w:p w14:paraId="752C9B0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Referenční výrobky</w:t>
            </w:r>
          </w:p>
        </w:tc>
        <w:tc>
          <w:tcPr>
            <w:tcW w:w="871" w:type="dxa"/>
            <w:noWrap/>
            <w:hideMark/>
          </w:tcPr>
          <w:p w14:paraId="4B456B8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Cena</w:t>
            </w:r>
          </w:p>
        </w:tc>
        <w:tc>
          <w:tcPr>
            <w:tcW w:w="581" w:type="dxa"/>
            <w:hideMark/>
          </w:tcPr>
          <w:p w14:paraId="413A4B2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Počet ks</w:t>
            </w:r>
          </w:p>
        </w:tc>
        <w:tc>
          <w:tcPr>
            <w:tcW w:w="889" w:type="dxa"/>
            <w:hideMark/>
          </w:tcPr>
          <w:p w14:paraId="5F5E618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Nabízený typ zařízení</w:t>
            </w:r>
          </w:p>
        </w:tc>
      </w:tr>
      <w:tr w:rsidR="000D471F" w:rsidRPr="003D4138" w14:paraId="0129FE6C" w14:textId="77777777" w:rsidTr="000D471F">
        <w:trPr>
          <w:trHeight w:val="300"/>
        </w:trPr>
        <w:tc>
          <w:tcPr>
            <w:tcW w:w="700" w:type="dxa"/>
            <w:vMerge w:val="restart"/>
            <w:hideMark/>
          </w:tcPr>
          <w:p w14:paraId="46C9499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HW001</w:t>
            </w:r>
          </w:p>
        </w:tc>
        <w:tc>
          <w:tcPr>
            <w:tcW w:w="1241" w:type="dxa"/>
            <w:vMerge w:val="restart"/>
            <w:hideMark/>
          </w:tcPr>
          <w:p w14:paraId="3318E27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sluchátko antivandal</w:t>
            </w:r>
          </w:p>
        </w:tc>
        <w:tc>
          <w:tcPr>
            <w:tcW w:w="3583" w:type="dxa"/>
            <w:hideMark/>
          </w:tcPr>
          <w:p w14:paraId="5CB513C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Reproduktor ve sluchátku: impedance 32 ohm, maximální zatížení 0.1 W</w:t>
            </w:r>
          </w:p>
        </w:tc>
        <w:tc>
          <w:tcPr>
            <w:tcW w:w="1548" w:type="dxa"/>
            <w:vMerge w:val="restart"/>
            <w:hideMark/>
          </w:tcPr>
          <w:p w14:paraId="29C4684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molitor USO metallic black</w:t>
            </w:r>
          </w:p>
        </w:tc>
        <w:tc>
          <w:tcPr>
            <w:tcW w:w="871" w:type="dxa"/>
            <w:vMerge w:val="restart"/>
            <w:noWrap/>
            <w:hideMark/>
          </w:tcPr>
          <w:p w14:paraId="6EE11AF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8 250 Kč</w:t>
            </w:r>
          </w:p>
        </w:tc>
        <w:tc>
          <w:tcPr>
            <w:tcW w:w="581" w:type="dxa"/>
            <w:vMerge w:val="restart"/>
            <w:noWrap/>
            <w:hideMark/>
          </w:tcPr>
          <w:p w14:paraId="4CD5931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  <w:tc>
          <w:tcPr>
            <w:tcW w:w="889" w:type="dxa"/>
            <w:vMerge w:val="restart"/>
            <w:hideMark/>
          </w:tcPr>
          <w:p w14:paraId="26E4C44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molitor USO metallic black</w:t>
            </w:r>
          </w:p>
        </w:tc>
      </w:tr>
      <w:tr w:rsidR="000D471F" w:rsidRPr="003D4138" w14:paraId="0FC280A2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4312348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2C76CB5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646447F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Celokovové provedení, montáž na stěnu, magnetický držák na stěnu</w:t>
            </w:r>
          </w:p>
        </w:tc>
        <w:tc>
          <w:tcPr>
            <w:tcW w:w="1548" w:type="dxa"/>
            <w:vMerge/>
            <w:hideMark/>
          </w:tcPr>
          <w:p w14:paraId="7629836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31A2FAD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547E87E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6B5538A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7A973F9B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33CD8B5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6F673CD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6695820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Zabudovaný senzor zvednutí ve sluchátku, reagující na magnetickou podložku</w:t>
            </w:r>
          </w:p>
        </w:tc>
        <w:tc>
          <w:tcPr>
            <w:tcW w:w="1548" w:type="dxa"/>
            <w:vMerge/>
            <w:hideMark/>
          </w:tcPr>
          <w:p w14:paraId="10A95D4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4C6BF20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6431388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2F7177D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2FB68336" w14:textId="77777777" w:rsidTr="000D471F">
        <w:trPr>
          <w:trHeight w:val="315"/>
        </w:trPr>
        <w:tc>
          <w:tcPr>
            <w:tcW w:w="700" w:type="dxa"/>
            <w:vMerge/>
            <w:hideMark/>
          </w:tcPr>
          <w:p w14:paraId="17701FB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37C588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145C6E9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Minimálně 120 cm kabel, opletený kovovou ochranou</w:t>
            </w:r>
          </w:p>
        </w:tc>
        <w:tc>
          <w:tcPr>
            <w:tcW w:w="1548" w:type="dxa"/>
            <w:vMerge/>
            <w:hideMark/>
          </w:tcPr>
          <w:p w14:paraId="390A3D0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58D4815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6B730F9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1C849D1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017207E4" w14:textId="77777777" w:rsidTr="000D471F">
        <w:trPr>
          <w:trHeight w:val="300"/>
        </w:trPr>
        <w:tc>
          <w:tcPr>
            <w:tcW w:w="700" w:type="dxa"/>
            <w:vMerge w:val="restart"/>
            <w:hideMark/>
          </w:tcPr>
          <w:p w14:paraId="07D4742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HW002</w:t>
            </w:r>
          </w:p>
        </w:tc>
        <w:tc>
          <w:tcPr>
            <w:tcW w:w="1241" w:type="dxa"/>
            <w:vMerge w:val="restart"/>
            <w:hideMark/>
          </w:tcPr>
          <w:p w14:paraId="7C78C53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 xml:space="preserve">spínaná zásuvka se vzdálenou správou </w:t>
            </w:r>
          </w:p>
        </w:tc>
        <w:tc>
          <w:tcPr>
            <w:tcW w:w="3583" w:type="dxa"/>
            <w:hideMark/>
          </w:tcPr>
          <w:p w14:paraId="4032F95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profesionální elektrická zásuvka se 3 výstupy připojená do LAN sítě</w:t>
            </w:r>
          </w:p>
        </w:tc>
        <w:tc>
          <w:tcPr>
            <w:tcW w:w="1548" w:type="dxa"/>
            <w:vMerge w:val="restart"/>
            <w:hideMark/>
          </w:tcPr>
          <w:p w14:paraId="7E95671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NETIO PowerBOX 3PE</w:t>
            </w:r>
          </w:p>
        </w:tc>
        <w:tc>
          <w:tcPr>
            <w:tcW w:w="871" w:type="dxa"/>
            <w:vMerge w:val="restart"/>
            <w:noWrap/>
            <w:hideMark/>
          </w:tcPr>
          <w:p w14:paraId="44A08BF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4 820 Kč</w:t>
            </w:r>
          </w:p>
        </w:tc>
        <w:tc>
          <w:tcPr>
            <w:tcW w:w="581" w:type="dxa"/>
            <w:vMerge w:val="restart"/>
            <w:noWrap/>
            <w:hideMark/>
          </w:tcPr>
          <w:p w14:paraId="5E26359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  <w:tc>
          <w:tcPr>
            <w:tcW w:w="889" w:type="dxa"/>
            <w:vMerge w:val="restart"/>
            <w:hideMark/>
          </w:tcPr>
          <w:p w14:paraId="0031EE5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NETIO PowerBOX 3PE</w:t>
            </w:r>
          </w:p>
        </w:tc>
      </w:tr>
      <w:tr w:rsidR="000D471F" w:rsidRPr="003D4138" w14:paraId="30CCEE0D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0EA5711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7BEFE19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3CAE46C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Přes web rozhraní lze samostatně vypnout a zapnout každou zásuvku.</w:t>
            </w:r>
          </w:p>
        </w:tc>
        <w:tc>
          <w:tcPr>
            <w:tcW w:w="1548" w:type="dxa"/>
            <w:vMerge/>
            <w:hideMark/>
          </w:tcPr>
          <w:p w14:paraId="04DDF75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5267980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6B403E4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77E4F73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6EB19FDA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40D5239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BC4356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41414B1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 Open API, možnost integrace do systémů třetích stran pomocí různých protokolů</w:t>
            </w:r>
          </w:p>
        </w:tc>
        <w:tc>
          <w:tcPr>
            <w:tcW w:w="1548" w:type="dxa"/>
            <w:vMerge/>
            <w:hideMark/>
          </w:tcPr>
          <w:p w14:paraId="00EAA4A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44BC22D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009263F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3C66E63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0B9B9F80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2F4E55F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6B44FAF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505C907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Mobilní aplikace od výrobce, pro ovládání zásuvky</w:t>
            </w:r>
          </w:p>
        </w:tc>
        <w:tc>
          <w:tcPr>
            <w:tcW w:w="1548" w:type="dxa"/>
            <w:vMerge/>
            <w:hideMark/>
          </w:tcPr>
          <w:p w14:paraId="0A1F5B6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700187E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05C6B54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5D9220D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2B145409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6C42B08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557A889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58D65A5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Integrace do cloudové správy od výrobce</w:t>
            </w:r>
          </w:p>
        </w:tc>
        <w:tc>
          <w:tcPr>
            <w:tcW w:w="1548" w:type="dxa"/>
            <w:vMerge/>
            <w:hideMark/>
          </w:tcPr>
          <w:p w14:paraId="325403B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5C1F23A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31A6880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7ABEE21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09E693AF" w14:textId="77777777" w:rsidTr="000D471F">
        <w:trPr>
          <w:trHeight w:val="615"/>
        </w:trPr>
        <w:tc>
          <w:tcPr>
            <w:tcW w:w="700" w:type="dxa"/>
            <w:vMerge/>
            <w:hideMark/>
          </w:tcPr>
          <w:p w14:paraId="45E8AE3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0A6F6E3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6FE4C4D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 protokolů a metod: Modbus/TCP, MQTT, Telnet, http URL API, JSON over HTTP, SNMP v1</w:t>
            </w:r>
          </w:p>
        </w:tc>
        <w:tc>
          <w:tcPr>
            <w:tcW w:w="1548" w:type="dxa"/>
            <w:vMerge/>
            <w:hideMark/>
          </w:tcPr>
          <w:p w14:paraId="3661670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51B9F3B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65C7CFE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0F8BC50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14AB478F" w14:textId="77777777" w:rsidTr="000D471F">
        <w:trPr>
          <w:trHeight w:val="600"/>
        </w:trPr>
        <w:tc>
          <w:tcPr>
            <w:tcW w:w="700" w:type="dxa"/>
            <w:vMerge w:val="restart"/>
            <w:hideMark/>
          </w:tcPr>
          <w:p w14:paraId="6DBC59B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HW003</w:t>
            </w:r>
          </w:p>
        </w:tc>
        <w:tc>
          <w:tcPr>
            <w:tcW w:w="1241" w:type="dxa"/>
            <w:vMerge w:val="restart"/>
            <w:hideMark/>
          </w:tcPr>
          <w:p w14:paraId="6DCBCC3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multimediální 4K přehrávač s GPIO</w:t>
            </w:r>
          </w:p>
        </w:tc>
        <w:tc>
          <w:tcPr>
            <w:tcW w:w="3583" w:type="dxa"/>
            <w:hideMark/>
          </w:tcPr>
          <w:p w14:paraId="3E66744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Multimediální přehrávač určený pro provoz 24/7 - bezvětrákové provedení, úložiště bez pohyblivých částí</w:t>
            </w:r>
          </w:p>
        </w:tc>
        <w:tc>
          <w:tcPr>
            <w:tcW w:w="1548" w:type="dxa"/>
            <w:vMerge w:val="restart"/>
            <w:hideMark/>
          </w:tcPr>
          <w:p w14:paraId="7B86E1D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například</w:t>
            </w:r>
            <w:r w:rsidRPr="003D4138">
              <w:rPr>
                <w:rFonts w:ascii="Calibri Light" w:hAnsi="Calibri Light" w:cs="Calibri Light"/>
                <w:sz w:val="16"/>
                <w:szCs w:val="16"/>
              </w:rPr>
              <w:br/>
              <w:t>Brightsign HD1025</w:t>
            </w:r>
            <w:r w:rsidRPr="003D4138">
              <w:rPr>
                <w:rFonts w:ascii="Calibri Light" w:hAnsi="Calibri Light" w:cs="Calibri Light"/>
                <w:sz w:val="16"/>
                <w:szCs w:val="16"/>
              </w:rPr>
              <w:br/>
              <w:t>nebo jiné rovnocenné řešení</w:t>
            </w:r>
          </w:p>
        </w:tc>
        <w:tc>
          <w:tcPr>
            <w:tcW w:w="871" w:type="dxa"/>
            <w:vMerge w:val="restart"/>
            <w:noWrap/>
            <w:hideMark/>
          </w:tcPr>
          <w:p w14:paraId="0091E09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16 900 Kč</w:t>
            </w:r>
          </w:p>
        </w:tc>
        <w:tc>
          <w:tcPr>
            <w:tcW w:w="581" w:type="dxa"/>
            <w:vMerge w:val="restart"/>
            <w:noWrap/>
            <w:hideMark/>
          </w:tcPr>
          <w:p w14:paraId="7762271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889" w:type="dxa"/>
            <w:vMerge w:val="restart"/>
            <w:hideMark/>
          </w:tcPr>
          <w:p w14:paraId="557AA0A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Brightsign HD1025</w:t>
            </w:r>
          </w:p>
        </w:tc>
      </w:tr>
      <w:tr w:rsidR="000D471F" w:rsidRPr="003D4138" w14:paraId="0DA6609C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09E4F79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2FFB300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526D492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umožňuje správu přes webové rozhraní, které musí obsahovat správce souborů na vloženém úložišti a možnost získat snímek přehrávaného obsahu</w:t>
            </w:r>
          </w:p>
        </w:tc>
        <w:tc>
          <w:tcPr>
            <w:tcW w:w="1548" w:type="dxa"/>
            <w:vMerge/>
            <w:hideMark/>
          </w:tcPr>
          <w:p w14:paraId="459CAFF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271688A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2685D2F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2A4CDAE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6FABAFF9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42D4F25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7E622A9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17085F5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 přehrávání 4K videa </w:t>
            </w:r>
          </w:p>
        </w:tc>
        <w:tc>
          <w:tcPr>
            <w:tcW w:w="1548" w:type="dxa"/>
            <w:vMerge/>
            <w:hideMark/>
          </w:tcPr>
          <w:p w14:paraId="373E2B8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67199AB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5C52085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32E88FB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374CFA59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288AD53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7121D52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39FBFC6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 minimálně H265, H264, MPEG4, MPEG2, MPEG1 kodeků</w:t>
            </w:r>
          </w:p>
        </w:tc>
        <w:tc>
          <w:tcPr>
            <w:tcW w:w="1548" w:type="dxa"/>
            <w:vMerge/>
            <w:hideMark/>
          </w:tcPr>
          <w:p w14:paraId="130F12B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444D2C9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5FB4E60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5BAFD22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1BE6D95F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1F2CEEC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19D0BC2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77CF140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 obrazového výstupu přes HDMI rozhraní ve verzi 2.0a nebo vyšší, minimálně s těmito výstupními rozlišeními: 1920x1080px při 25 i 30 snímcích za vteřinu a 3840x2160px při 25 i 30 snímcích za vteřinu</w:t>
            </w:r>
          </w:p>
        </w:tc>
        <w:tc>
          <w:tcPr>
            <w:tcW w:w="1548" w:type="dxa"/>
            <w:vMerge/>
            <w:hideMark/>
          </w:tcPr>
          <w:p w14:paraId="5E407E6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6B3D124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20F3DD4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17592B1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3A1F188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022DCAF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31D0E53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35F717C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 upscalingu (přizpůsobení plné velikosti přehrávaného obsahu rozlišení obrazového výstupu) až do 3180x2160px</w:t>
            </w:r>
          </w:p>
        </w:tc>
        <w:tc>
          <w:tcPr>
            <w:tcW w:w="1548" w:type="dxa"/>
            <w:vMerge/>
            <w:hideMark/>
          </w:tcPr>
          <w:p w14:paraId="6357E3C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3DC9B21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7DC1042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12C3B94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AD0746C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36BBD78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5F48502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7438AB0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je vybaven externí pamětí například na micro SD kartě s podporou velikosti SDXC karty minimálně 64GB pro obrazová data i konfiguraci </w:t>
            </w:r>
          </w:p>
        </w:tc>
        <w:tc>
          <w:tcPr>
            <w:tcW w:w="1548" w:type="dxa"/>
            <w:vMerge/>
            <w:hideMark/>
          </w:tcPr>
          <w:p w14:paraId="3D06463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34BFC26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3B91EC3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5120D7E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9C07913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3A0F271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725B0DE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2A31E08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je vybaven rozhraním GPIO pro interakci s obsluhou, minimálně 8 GPIO pozic</w:t>
            </w:r>
          </w:p>
        </w:tc>
        <w:tc>
          <w:tcPr>
            <w:tcW w:w="1548" w:type="dxa"/>
            <w:vMerge/>
            <w:hideMark/>
          </w:tcPr>
          <w:p w14:paraId="567FE4D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037A529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06BE24F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72528A7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9656F20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77F1AD0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0D890C8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5DB1E55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 spouštění obsahu pomocí UDP síťových paketů a podpora vysílání raw UDP síťových paketů </w:t>
            </w:r>
          </w:p>
        </w:tc>
        <w:tc>
          <w:tcPr>
            <w:tcW w:w="1548" w:type="dxa"/>
            <w:vMerge/>
            <w:hideMark/>
          </w:tcPr>
          <w:p w14:paraId="0CB9109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32BDD7E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3810A67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2A45CA7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0BE04304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5365070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65CA65D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20B0BC1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Poskytnutá záruka v minimální délce 2 roky</w:t>
            </w:r>
          </w:p>
        </w:tc>
        <w:tc>
          <w:tcPr>
            <w:tcW w:w="1548" w:type="dxa"/>
            <w:vMerge/>
            <w:hideMark/>
          </w:tcPr>
          <w:p w14:paraId="372CD54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4DFE3E6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2DAE130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0646534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2DDE6C8B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35779BD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8A2411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13A84C8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Součástí dodávky musí být i SW na přípravu přehrávaného obsahu, programování veškerých funkcí přehrávače včetně UDP síťové komunikace a SW pro síťovou správu obsahu od výrobce přehrávače.</w:t>
            </w:r>
          </w:p>
        </w:tc>
        <w:tc>
          <w:tcPr>
            <w:tcW w:w="1548" w:type="dxa"/>
            <w:vMerge/>
            <w:hideMark/>
          </w:tcPr>
          <w:p w14:paraId="3A8D895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62DB0A2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0821467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12BA1E3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72C11F60" w14:textId="77777777" w:rsidTr="000D471F">
        <w:trPr>
          <w:trHeight w:val="1515"/>
        </w:trPr>
        <w:tc>
          <w:tcPr>
            <w:tcW w:w="700" w:type="dxa"/>
            <w:vMerge/>
            <w:hideMark/>
          </w:tcPr>
          <w:p w14:paraId="48F6E4C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2B4007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0E836C7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je vybaven minimálně: 1x gigabit LAN rozhraním pro ovládání, synchronizaci a streaming video obsahů, výstupním obrazovým konektorem HDMI typu 2.0a, rozhraním RS-232, analogovým zvukovým výstupem s 3,5mm jack konektorem, M.2 slotem na Wi-Fi nebo bluetooth modul a USB konektorem s podporou připojení dotykových obrazovek</w:t>
            </w:r>
          </w:p>
        </w:tc>
        <w:tc>
          <w:tcPr>
            <w:tcW w:w="1548" w:type="dxa"/>
            <w:vMerge/>
            <w:hideMark/>
          </w:tcPr>
          <w:p w14:paraId="62E5D04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2573F79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6CEEB78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46F9F43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6976378C" w14:textId="77777777" w:rsidTr="000D471F">
        <w:trPr>
          <w:trHeight w:val="600"/>
        </w:trPr>
        <w:tc>
          <w:tcPr>
            <w:tcW w:w="700" w:type="dxa"/>
            <w:vMerge w:val="restart"/>
            <w:hideMark/>
          </w:tcPr>
          <w:p w14:paraId="75DD9FE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HW004</w:t>
            </w:r>
          </w:p>
        </w:tc>
        <w:tc>
          <w:tcPr>
            <w:tcW w:w="1241" w:type="dxa"/>
            <w:vMerge w:val="restart"/>
            <w:hideMark/>
          </w:tcPr>
          <w:p w14:paraId="524D699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multimediální 4K přehrávač s GPIO a PoE+</w:t>
            </w:r>
          </w:p>
        </w:tc>
        <w:tc>
          <w:tcPr>
            <w:tcW w:w="3583" w:type="dxa"/>
            <w:hideMark/>
          </w:tcPr>
          <w:p w14:paraId="7ED9AB7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Multimediální přehrávač určený pro provoz 24/7 - bezvětrákové provedení, úložiště bez pohyblivých částí</w:t>
            </w:r>
          </w:p>
        </w:tc>
        <w:tc>
          <w:tcPr>
            <w:tcW w:w="1548" w:type="dxa"/>
            <w:vMerge w:val="restart"/>
            <w:hideMark/>
          </w:tcPr>
          <w:p w14:paraId="7F94B31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například</w:t>
            </w:r>
            <w:r w:rsidRPr="003D4138">
              <w:rPr>
                <w:rFonts w:ascii="Calibri Light" w:hAnsi="Calibri Light" w:cs="Calibri Light"/>
                <w:sz w:val="16"/>
                <w:szCs w:val="16"/>
              </w:rPr>
              <w:br/>
              <w:t>Brightsign XD1035</w:t>
            </w:r>
            <w:r w:rsidRPr="003D4138">
              <w:rPr>
                <w:rFonts w:ascii="Calibri Light" w:hAnsi="Calibri Light" w:cs="Calibri Light"/>
                <w:sz w:val="16"/>
                <w:szCs w:val="16"/>
              </w:rPr>
              <w:br/>
              <w:t>nebo jiné rovnocenné řešení</w:t>
            </w:r>
          </w:p>
        </w:tc>
        <w:tc>
          <w:tcPr>
            <w:tcW w:w="871" w:type="dxa"/>
            <w:vMerge w:val="restart"/>
            <w:noWrap/>
            <w:hideMark/>
          </w:tcPr>
          <w:p w14:paraId="06A8AED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21 400 Kč</w:t>
            </w:r>
          </w:p>
        </w:tc>
        <w:tc>
          <w:tcPr>
            <w:tcW w:w="581" w:type="dxa"/>
            <w:vMerge w:val="restart"/>
            <w:noWrap/>
            <w:hideMark/>
          </w:tcPr>
          <w:p w14:paraId="10491ED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  <w:tc>
          <w:tcPr>
            <w:tcW w:w="889" w:type="dxa"/>
            <w:vMerge w:val="restart"/>
            <w:hideMark/>
          </w:tcPr>
          <w:p w14:paraId="501B024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Brightsign XD1035</w:t>
            </w:r>
          </w:p>
        </w:tc>
      </w:tr>
      <w:tr w:rsidR="000D471F" w:rsidRPr="003D4138" w14:paraId="707E2ADE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773DD7B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1A8969D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24AF09C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umožňuje správu přes webové rozhraní, které musí obsahovat správce souborů na vloženém úložišti a možnost získat snímek přehrávaného obsahu</w:t>
            </w:r>
          </w:p>
        </w:tc>
        <w:tc>
          <w:tcPr>
            <w:tcW w:w="1548" w:type="dxa"/>
            <w:vMerge/>
            <w:hideMark/>
          </w:tcPr>
          <w:p w14:paraId="6A1787A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23BC533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0AD0F8E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618DFDC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66B010EB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333F7DB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25C67AB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4A5EC93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 přehrávání 4K videa </w:t>
            </w:r>
          </w:p>
        </w:tc>
        <w:tc>
          <w:tcPr>
            <w:tcW w:w="1548" w:type="dxa"/>
            <w:vMerge/>
            <w:hideMark/>
          </w:tcPr>
          <w:p w14:paraId="315B5F0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1958C9D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7E44D99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355FDAD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B7BCFAA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0B85E9F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2B6DF72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34AFA37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 minimálně H265, H264, MPEG4, MPEG2, MPEG1 kodeků</w:t>
            </w:r>
          </w:p>
        </w:tc>
        <w:tc>
          <w:tcPr>
            <w:tcW w:w="1548" w:type="dxa"/>
            <w:vMerge/>
            <w:hideMark/>
          </w:tcPr>
          <w:p w14:paraId="511F796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3F8053F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3921B00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2B9558D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539480AB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67DA99B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8476C4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7711AA1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 obrazového výstupu přes HDMI rozhraní ve verzi 2.0a nebo vyšší, minimálně s těmito výstupními rozlišeními: 1920x1080px při 25 i 30 snímcích za vteřinu a 3840x2160px při 25 i 30 snímcích za vteřinu</w:t>
            </w:r>
          </w:p>
        </w:tc>
        <w:tc>
          <w:tcPr>
            <w:tcW w:w="1548" w:type="dxa"/>
            <w:vMerge/>
            <w:hideMark/>
          </w:tcPr>
          <w:p w14:paraId="7BB8484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67BA47C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706071B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5216689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2DD9DB6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031906A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721FEE2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4E01548C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 upscalingu (přizpůsobení plné velikosti přehrávaného obsahu rozlišení obrazového výstupu) až do 3180x2160px</w:t>
            </w:r>
          </w:p>
        </w:tc>
        <w:tc>
          <w:tcPr>
            <w:tcW w:w="1548" w:type="dxa"/>
            <w:vMerge/>
            <w:hideMark/>
          </w:tcPr>
          <w:p w14:paraId="241556C1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61ADE00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6679974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37FBDE3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73BBEE63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4AF8211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2C1A3E4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05D327B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je vybaven slotem pro interní paměť PCIE NVME M.2 SSD a externí pamětí například na micro SD kartě s podporou velikosti SDXC karty minimálně 64GB pro obrazová data i konfiguraci </w:t>
            </w:r>
          </w:p>
        </w:tc>
        <w:tc>
          <w:tcPr>
            <w:tcW w:w="1548" w:type="dxa"/>
            <w:vMerge/>
            <w:hideMark/>
          </w:tcPr>
          <w:p w14:paraId="10A78B1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068FFBF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5CC25AA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0301379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B731AC0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0BB53BB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2BF7BD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46FDF98F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je vybaven rozhraním GPIO pro interakci s obsluhou, minimálně 8 GPIO pozic</w:t>
            </w:r>
          </w:p>
        </w:tc>
        <w:tc>
          <w:tcPr>
            <w:tcW w:w="1548" w:type="dxa"/>
            <w:vMerge/>
            <w:hideMark/>
          </w:tcPr>
          <w:p w14:paraId="185BCDB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14F005D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571C64C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346CD70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2621291D" w14:textId="77777777" w:rsidTr="000D471F">
        <w:trPr>
          <w:trHeight w:val="600"/>
        </w:trPr>
        <w:tc>
          <w:tcPr>
            <w:tcW w:w="700" w:type="dxa"/>
            <w:vMerge/>
            <w:hideMark/>
          </w:tcPr>
          <w:p w14:paraId="19D6127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44901DF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67DACE1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Podpora spouštění obsahu pomocí UDP síťových paketů a podpora vysílání raw UDP síťových paketů </w:t>
            </w:r>
          </w:p>
        </w:tc>
        <w:tc>
          <w:tcPr>
            <w:tcW w:w="1548" w:type="dxa"/>
            <w:vMerge/>
            <w:hideMark/>
          </w:tcPr>
          <w:p w14:paraId="50224DF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4F16846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2DE244AD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072952E0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7CE5A470" w14:textId="77777777" w:rsidTr="000D471F">
        <w:trPr>
          <w:trHeight w:val="300"/>
        </w:trPr>
        <w:tc>
          <w:tcPr>
            <w:tcW w:w="700" w:type="dxa"/>
            <w:vMerge/>
            <w:hideMark/>
          </w:tcPr>
          <w:p w14:paraId="613302D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7D00F2FB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28767135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Poskytnutá záruka v minimální délce 2 roky</w:t>
            </w:r>
          </w:p>
        </w:tc>
        <w:tc>
          <w:tcPr>
            <w:tcW w:w="1548" w:type="dxa"/>
            <w:vMerge/>
            <w:hideMark/>
          </w:tcPr>
          <w:p w14:paraId="62E1D8F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0D4E60D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12E5E66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57317AB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51AD4ED9" w14:textId="77777777" w:rsidTr="000D471F">
        <w:trPr>
          <w:trHeight w:val="900"/>
        </w:trPr>
        <w:tc>
          <w:tcPr>
            <w:tcW w:w="700" w:type="dxa"/>
            <w:vMerge/>
            <w:hideMark/>
          </w:tcPr>
          <w:p w14:paraId="10E26A7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591AB11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7008AE19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Součástí dodávky musí být i SW na přípravu přehrávaného obsahu, programování veškerých funkcí přehrávače včetně UDP síťové komunikace a SW pro síťovou správu obsahu od výrobce přehrávače.</w:t>
            </w:r>
          </w:p>
        </w:tc>
        <w:tc>
          <w:tcPr>
            <w:tcW w:w="1548" w:type="dxa"/>
            <w:vMerge/>
            <w:hideMark/>
          </w:tcPr>
          <w:p w14:paraId="180BE0C2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1ABA26B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726B920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228DBB78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  <w:tr w:rsidR="000D471F" w:rsidRPr="003D4138" w14:paraId="419DC3AB" w14:textId="77777777" w:rsidTr="000D471F">
        <w:trPr>
          <w:trHeight w:val="1815"/>
        </w:trPr>
        <w:tc>
          <w:tcPr>
            <w:tcW w:w="700" w:type="dxa"/>
            <w:vMerge/>
            <w:hideMark/>
          </w:tcPr>
          <w:p w14:paraId="00B6CED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241" w:type="dxa"/>
            <w:vMerge/>
            <w:hideMark/>
          </w:tcPr>
          <w:p w14:paraId="00292F07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583" w:type="dxa"/>
            <w:hideMark/>
          </w:tcPr>
          <w:p w14:paraId="46FDBFC3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3D4138">
              <w:rPr>
                <w:rFonts w:ascii="Calibri Light" w:hAnsi="Calibri Light" w:cs="Calibri Light"/>
                <w:sz w:val="16"/>
                <w:szCs w:val="16"/>
              </w:rPr>
              <w:t>Přehrávač je vybaven minimálně: 1x gigabit LAN rozhraním pro ovládání s možností PoE+ napájení, synchronizaci a streaming video obsahů, výstupním obrazovým konektorem HDMI typu 2.0a, rozhraním RS-232, analogovým zvukovým výstupem s 3,5mm jack konektorem, M.2 slotem na Wi-Fi nebo bluetooth modul a 1x USB-A konektorem s podporou připojení dotykových obrazovek a 1x USB-C konektorem</w:t>
            </w:r>
          </w:p>
        </w:tc>
        <w:tc>
          <w:tcPr>
            <w:tcW w:w="1548" w:type="dxa"/>
            <w:vMerge/>
            <w:hideMark/>
          </w:tcPr>
          <w:p w14:paraId="0FB2853A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71" w:type="dxa"/>
            <w:vMerge/>
            <w:hideMark/>
          </w:tcPr>
          <w:p w14:paraId="4EADC6EE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81" w:type="dxa"/>
            <w:vMerge/>
            <w:hideMark/>
          </w:tcPr>
          <w:p w14:paraId="7BB56F86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89" w:type="dxa"/>
            <w:vMerge/>
            <w:hideMark/>
          </w:tcPr>
          <w:p w14:paraId="44F3D674" w14:textId="77777777" w:rsidR="000D471F" w:rsidRPr="003D4138" w:rsidRDefault="000D471F" w:rsidP="003D4138">
            <w:pPr>
              <w:jc w:val="both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</w:tr>
    </w:tbl>
    <w:p w14:paraId="11C12864" w14:textId="77777777" w:rsidR="00212DED" w:rsidRPr="003D4138" w:rsidRDefault="00212DED" w:rsidP="006B0546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sectPr w:rsidR="00212DED" w:rsidRPr="003D4138" w:rsidSect="00236196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AAB0" w14:textId="77777777" w:rsidR="00461CAC" w:rsidRDefault="00461CAC">
      <w:r>
        <w:separator/>
      </w:r>
    </w:p>
  </w:endnote>
  <w:endnote w:type="continuationSeparator" w:id="0">
    <w:p w14:paraId="705E7199" w14:textId="77777777" w:rsidR="00461CAC" w:rsidRDefault="00461CAC">
      <w:r>
        <w:continuationSeparator/>
      </w:r>
    </w:p>
  </w:endnote>
  <w:endnote w:type="continuationNotice" w:id="1">
    <w:p w14:paraId="450A3B2E" w14:textId="77777777" w:rsidR="0003333C" w:rsidRDefault="00033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D62D" w14:textId="77777777" w:rsidR="00461CAC" w:rsidRDefault="00461CAC">
      <w:r>
        <w:separator/>
      </w:r>
    </w:p>
  </w:footnote>
  <w:footnote w:type="continuationSeparator" w:id="0">
    <w:p w14:paraId="01528366" w14:textId="77777777" w:rsidR="00461CAC" w:rsidRDefault="00461CAC">
      <w:r>
        <w:continuationSeparator/>
      </w:r>
    </w:p>
  </w:footnote>
  <w:footnote w:type="continuationNotice" w:id="1">
    <w:p w14:paraId="0825BC82" w14:textId="77777777" w:rsidR="0003333C" w:rsidRDefault="000333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482D"/>
    <w:rsid w:val="0002554E"/>
    <w:rsid w:val="00031AA6"/>
    <w:rsid w:val="0003333C"/>
    <w:rsid w:val="0003684B"/>
    <w:rsid w:val="00086964"/>
    <w:rsid w:val="00094D44"/>
    <w:rsid w:val="000A00EB"/>
    <w:rsid w:val="000B4ACC"/>
    <w:rsid w:val="000C5A20"/>
    <w:rsid w:val="000C61F6"/>
    <w:rsid w:val="000D471F"/>
    <w:rsid w:val="000E226C"/>
    <w:rsid w:val="00134E01"/>
    <w:rsid w:val="00135BB1"/>
    <w:rsid w:val="00171B43"/>
    <w:rsid w:val="00181983"/>
    <w:rsid w:val="00195BDA"/>
    <w:rsid w:val="001A2B7A"/>
    <w:rsid w:val="001C3446"/>
    <w:rsid w:val="001D0730"/>
    <w:rsid w:val="001D40F1"/>
    <w:rsid w:val="002116E8"/>
    <w:rsid w:val="00212DED"/>
    <w:rsid w:val="00236196"/>
    <w:rsid w:val="0025451D"/>
    <w:rsid w:val="00254CB7"/>
    <w:rsid w:val="0026448E"/>
    <w:rsid w:val="00266C0C"/>
    <w:rsid w:val="002759C2"/>
    <w:rsid w:val="00291328"/>
    <w:rsid w:val="002A3C3C"/>
    <w:rsid w:val="002B2D62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82A93"/>
    <w:rsid w:val="00383918"/>
    <w:rsid w:val="00391EBA"/>
    <w:rsid w:val="003A16C2"/>
    <w:rsid w:val="003D4138"/>
    <w:rsid w:val="00410EB7"/>
    <w:rsid w:val="00436EBE"/>
    <w:rsid w:val="00440B47"/>
    <w:rsid w:val="00446BF8"/>
    <w:rsid w:val="00461CAC"/>
    <w:rsid w:val="00483A50"/>
    <w:rsid w:val="004B33AB"/>
    <w:rsid w:val="004C2C7D"/>
    <w:rsid w:val="004D04A4"/>
    <w:rsid w:val="004D1D92"/>
    <w:rsid w:val="004E1DA6"/>
    <w:rsid w:val="00536C02"/>
    <w:rsid w:val="00545574"/>
    <w:rsid w:val="00553625"/>
    <w:rsid w:val="00587D3E"/>
    <w:rsid w:val="005B1086"/>
    <w:rsid w:val="005E3F58"/>
    <w:rsid w:val="0065096B"/>
    <w:rsid w:val="00653D99"/>
    <w:rsid w:val="0067028B"/>
    <w:rsid w:val="0069320A"/>
    <w:rsid w:val="00694ECF"/>
    <w:rsid w:val="006B0044"/>
    <w:rsid w:val="006B0546"/>
    <w:rsid w:val="006C302C"/>
    <w:rsid w:val="006F58B8"/>
    <w:rsid w:val="006F5B9A"/>
    <w:rsid w:val="006F6820"/>
    <w:rsid w:val="0070490D"/>
    <w:rsid w:val="00734455"/>
    <w:rsid w:val="00734668"/>
    <w:rsid w:val="007677E5"/>
    <w:rsid w:val="007825B1"/>
    <w:rsid w:val="007A6A59"/>
    <w:rsid w:val="007B0EBB"/>
    <w:rsid w:val="007B16BA"/>
    <w:rsid w:val="007B2994"/>
    <w:rsid w:val="007C4A67"/>
    <w:rsid w:val="007E5BDA"/>
    <w:rsid w:val="007F517B"/>
    <w:rsid w:val="00807875"/>
    <w:rsid w:val="0082484E"/>
    <w:rsid w:val="008274ED"/>
    <w:rsid w:val="0084392A"/>
    <w:rsid w:val="00866BCE"/>
    <w:rsid w:val="0087702E"/>
    <w:rsid w:val="008872C1"/>
    <w:rsid w:val="008A289C"/>
    <w:rsid w:val="008B65C0"/>
    <w:rsid w:val="008D28E2"/>
    <w:rsid w:val="008E0B43"/>
    <w:rsid w:val="00930F9F"/>
    <w:rsid w:val="0093262F"/>
    <w:rsid w:val="00957820"/>
    <w:rsid w:val="00996521"/>
    <w:rsid w:val="009A6026"/>
    <w:rsid w:val="009F2B03"/>
    <w:rsid w:val="00A23393"/>
    <w:rsid w:val="00A34FC3"/>
    <w:rsid w:val="00A55667"/>
    <w:rsid w:val="00AA51BA"/>
    <w:rsid w:val="00AB7062"/>
    <w:rsid w:val="00AD1433"/>
    <w:rsid w:val="00AE50A2"/>
    <w:rsid w:val="00B07093"/>
    <w:rsid w:val="00B2055B"/>
    <w:rsid w:val="00B634FA"/>
    <w:rsid w:val="00B64E49"/>
    <w:rsid w:val="00B7420F"/>
    <w:rsid w:val="00B803A1"/>
    <w:rsid w:val="00B83F93"/>
    <w:rsid w:val="00B860CE"/>
    <w:rsid w:val="00BA07EA"/>
    <w:rsid w:val="00BD7B58"/>
    <w:rsid w:val="00BF5225"/>
    <w:rsid w:val="00C34B54"/>
    <w:rsid w:val="00C73BB9"/>
    <w:rsid w:val="00C80D98"/>
    <w:rsid w:val="00C911C7"/>
    <w:rsid w:val="00CB1B2A"/>
    <w:rsid w:val="00CC0185"/>
    <w:rsid w:val="00CC6DDA"/>
    <w:rsid w:val="00CE0D2D"/>
    <w:rsid w:val="00D51A52"/>
    <w:rsid w:val="00DC724C"/>
    <w:rsid w:val="00DF2D45"/>
    <w:rsid w:val="00E03E97"/>
    <w:rsid w:val="00E35A11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table" w:styleId="Mkatabulky">
    <w:name w:val="Table Grid"/>
    <w:basedOn w:val="Normlntabulka"/>
    <w:rsid w:val="0021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  <SharedWithUsers xmlns="4faf8b71-de24-42c7-b387-73ed9a508043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8e21313e-b948-4ff7-93a2-5ad4759a4f80"/>
    <ds:schemaRef ds:uri="4faf8b71-de24-42c7-b387-73ed9a508043"/>
  </ds:schemaRefs>
</ds:datastoreItem>
</file>

<file path=customXml/itemProps3.xml><?xml version="1.0" encoding="utf-8"?>
<ds:datastoreItem xmlns:ds="http://schemas.openxmlformats.org/officeDocument/2006/customXml" ds:itemID="{4C89F1B8-98A1-43CF-9F47-D1741C81E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2007-01-18T13:22:00Z</cp:lastPrinted>
  <dcterms:created xsi:type="dcterms:W3CDTF">2025-01-16T12:41:00Z</dcterms:created>
  <dcterms:modified xsi:type="dcterms:W3CDTF">2025-01-16T12:42:00Z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  <property fmtid="{D5CDD505-2E9C-101B-9397-08002B2CF9AE}" pid="7" name="ContentTypeId">
    <vt:lpwstr>0x0101000102B703E3432243878F4D1976682466</vt:lpwstr>
  </property>
</Properties>
</file>