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B14" w:rsidRDefault="00240C2F">
      <w:pPr>
        <w:spacing w:after="232"/>
        <w:ind w:right="43"/>
        <w:jc w:val="center"/>
      </w:pPr>
      <w:bookmarkStart w:id="0" w:name="_GoBack"/>
      <w:bookmarkEnd w:id="0"/>
      <w:r>
        <w:rPr>
          <w:sz w:val="26"/>
          <w:u w:val="single" w:color="000000"/>
        </w:rPr>
        <w:t>Software a ceny</w:t>
      </w:r>
    </w:p>
    <w:p w:rsidR="007F6B14" w:rsidRDefault="00240C2F">
      <w:pPr>
        <w:spacing w:after="24"/>
        <w:ind w:left="9" w:hanging="10"/>
        <w:jc w:val="both"/>
      </w:pPr>
      <w:r>
        <w:rPr>
          <w:sz w:val="20"/>
        </w:rPr>
        <w:t>Smluvní strany potvrzují, že k níže uvedenému dni a za podmínek stanovených ve smlouvě o dodávce softwarových produktů a poskytování servisních služeb disponuje objednatel licencemi anebo má objednatel nárok na služby dodavatele v následujícím rozsahu:</w:t>
      </w:r>
    </w:p>
    <w:tbl>
      <w:tblPr>
        <w:tblStyle w:val="TableGrid"/>
        <w:tblW w:w="9528" w:type="dxa"/>
        <w:tblInd w:w="19" w:type="dxa"/>
        <w:tblCellMar>
          <w:top w:w="139" w:type="dxa"/>
          <w:left w:w="77" w:type="dxa"/>
          <w:bottom w:w="4" w:type="dxa"/>
          <w:right w:w="53" w:type="dxa"/>
        </w:tblCellMar>
        <w:tblLook w:val="04A0" w:firstRow="1" w:lastRow="0" w:firstColumn="1" w:lastColumn="0" w:noHBand="0" w:noVBand="1"/>
      </w:tblPr>
      <w:tblGrid>
        <w:gridCol w:w="6413"/>
        <w:gridCol w:w="3115"/>
      </w:tblGrid>
      <w:tr w:rsidR="007F6B14">
        <w:trPr>
          <w:trHeight w:val="346"/>
        </w:trPr>
        <w:tc>
          <w:tcPr>
            <w:tcW w:w="6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7F6B14" w:rsidRDefault="00240C2F">
            <w:pPr>
              <w:spacing w:after="0"/>
            </w:pPr>
            <w:r>
              <w:t xml:space="preserve">1. </w:t>
            </w:r>
            <w:r>
              <w:t>Základní údaje smlouvy</w:t>
            </w:r>
          </w:p>
        </w:tc>
        <w:tc>
          <w:tcPr>
            <w:tcW w:w="31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F6B14" w:rsidRDefault="007F6B14"/>
        </w:tc>
      </w:tr>
      <w:tr w:rsidR="007F6B14">
        <w:trPr>
          <w:trHeight w:val="442"/>
        </w:trPr>
        <w:tc>
          <w:tcPr>
            <w:tcW w:w="6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6B14" w:rsidRDefault="00240C2F">
            <w:pPr>
              <w:spacing w:after="0"/>
              <w:ind w:left="322"/>
            </w:pPr>
            <w:r>
              <w:rPr>
                <w:sz w:val="18"/>
              </w:rPr>
              <w:t xml:space="preserve">Typ programu služeb podpory v rozsahu dle této </w:t>
            </w:r>
            <w:proofErr w:type="spellStart"/>
            <w:r>
              <w:rPr>
                <w:sz w:val="18"/>
              </w:rPr>
              <w:t>přilohy</w:t>
            </w:r>
            <w:proofErr w:type="spellEnd"/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6B14" w:rsidRDefault="00240C2F">
            <w:pPr>
              <w:spacing w:after="0"/>
              <w:ind w:right="19"/>
              <w:jc w:val="right"/>
            </w:pPr>
            <w:r>
              <w:rPr>
                <w:sz w:val="20"/>
              </w:rPr>
              <w:t>Standard</w:t>
            </w:r>
          </w:p>
        </w:tc>
      </w:tr>
      <w:tr w:rsidR="007F6B14">
        <w:trPr>
          <w:trHeight w:val="442"/>
        </w:trPr>
        <w:tc>
          <w:tcPr>
            <w:tcW w:w="6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6B14" w:rsidRDefault="00240C2F">
            <w:pPr>
              <w:spacing w:after="0"/>
              <w:ind w:left="331"/>
            </w:pPr>
            <w:r>
              <w:rPr>
                <w:sz w:val="18"/>
              </w:rPr>
              <w:t>Období úplatné podpory — datum od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6B14" w:rsidRDefault="00240C2F">
            <w:pPr>
              <w:spacing w:after="0"/>
              <w:ind w:right="19"/>
              <w:jc w:val="right"/>
            </w:pPr>
            <w:r>
              <w:rPr>
                <w:sz w:val="20"/>
              </w:rPr>
              <w:t>25.01.2025</w:t>
            </w:r>
          </w:p>
        </w:tc>
      </w:tr>
      <w:tr w:rsidR="007F6B14">
        <w:trPr>
          <w:trHeight w:val="757"/>
        </w:trPr>
        <w:tc>
          <w:tcPr>
            <w:tcW w:w="6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6B14" w:rsidRDefault="00240C2F">
            <w:pPr>
              <w:spacing w:after="0"/>
              <w:ind w:right="29"/>
              <w:jc w:val="right"/>
            </w:pPr>
            <w:r>
              <w:rPr>
                <w:sz w:val="20"/>
              </w:rPr>
              <w:t>Délka servisní podpory dle odstavce 2.2.1 a četnost fakturace dle odstavců</w:t>
            </w:r>
          </w:p>
          <w:p w:rsidR="007F6B14" w:rsidRDefault="00240C2F">
            <w:pPr>
              <w:spacing w:after="0"/>
              <w:ind w:left="336"/>
            </w:pPr>
            <w:r>
              <w:rPr>
                <w:sz w:val="20"/>
              </w:rPr>
              <w:t>3.2.1 a 3.2.2 smlouvy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B14" w:rsidRDefault="00240C2F">
            <w:pPr>
              <w:spacing w:after="0"/>
              <w:jc w:val="right"/>
            </w:pPr>
            <w:r>
              <w:rPr>
                <w:sz w:val="20"/>
              </w:rPr>
              <w:t>roční</w:t>
            </w:r>
          </w:p>
        </w:tc>
      </w:tr>
      <w:tr w:rsidR="007F6B14">
        <w:trPr>
          <w:trHeight w:val="751"/>
        </w:trPr>
        <w:tc>
          <w:tcPr>
            <w:tcW w:w="6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B14" w:rsidRDefault="00240C2F">
            <w:pPr>
              <w:spacing w:after="0"/>
              <w:ind w:left="355" w:hanging="19"/>
              <w:jc w:val="both"/>
            </w:pPr>
            <w:r>
              <w:rPr>
                <w:sz w:val="18"/>
              </w:rPr>
              <w:t>Celková cena služeb podpory softwarových produktů dle následujícího bodu č. 2 za rok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B14" w:rsidRDefault="00240C2F">
            <w:pPr>
              <w:spacing w:after="0"/>
              <w:ind w:right="10"/>
              <w:jc w:val="right"/>
            </w:pPr>
            <w:r>
              <w:rPr>
                <w:sz w:val="20"/>
              </w:rPr>
              <w:t>6 098,60 Kč</w:t>
            </w:r>
          </w:p>
        </w:tc>
      </w:tr>
    </w:tbl>
    <w:p w:rsidR="007F6B14" w:rsidRDefault="00240C2F">
      <w:pPr>
        <w:pBdr>
          <w:top w:val="single" w:sz="2" w:space="0" w:color="000000"/>
          <w:left w:val="single" w:sz="8" w:space="0" w:color="000000"/>
          <w:bottom w:val="single" w:sz="4" w:space="0" w:color="000000"/>
          <w:right w:val="single" w:sz="8" w:space="0" w:color="000000"/>
        </w:pBdr>
        <w:spacing w:after="0"/>
        <w:ind w:left="101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1008888</wp:posOffset>
            </wp:positionH>
            <wp:positionV relativeFrom="page">
              <wp:posOffset>1173814</wp:posOffset>
            </wp:positionV>
            <wp:extent cx="691896" cy="131101"/>
            <wp:effectExtent l="0" t="0" r="0" b="0"/>
            <wp:wrapTopAndBottom/>
            <wp:docPr id="2511" name="Picture 25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1" name="Picture 25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1896" cy="131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6208776</wp:posOffset>
            </wp:positionH>
            <wp:positionV relativeFrom="page">
              <wp:posOffset>234763</wp:posOffset>
            </wp:positionV>
            <wp:extent cx="1149096" cy="548796"/>
            <wp:effectExtent l="0" t="0" r="0" b="0"/>
            <wp:wrapTopAndBottom/>
            <wp:docPr id="6196" name="Picture 6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6" name="Picture 619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9096" cy="548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2. Rozsah licence a ceny příslušné servisní podpory</w:t>
      </w:r>
    </w:p>
    <w:tbl>
      <w:tblPr>
        <w:tblStyle w:val="TableGrid"/>
        <w:tblW w:w="9605" w:type="dxa"/>
        <w:tblInd w:w="24" w:type="dxa"/>
        <w:tblCellMar>
          <w:top w:w="123" w:type="dxa"/>
          <w:left w:w="67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7"/>
        <w:gridCol w:w="6863"/>
        <w:gridCol w:w="814"/>
        <w:gridCol w:w="1915"/>
        <w:gridCol w:w="6"/>
      </w:tblGrid>
      <w:tr w:rsidR="007F6B14">
        <w:trPr>
          <w:gridBefore w:val="1"/>
          <w:wBefore w:w="7" w:type="dxa"/>
          <w:trHeight w:val="592"/>
        </w:trPr>
        <w:tc>
          <w:tcPr>
            <w:tcW w:w="7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B14" w:rsidRDefault="00240C2F">
            <w:pPr>
              <w:spacing w:after="0"/>
              <w:ind w:left="5"/>
            </w:pPr>
            <w:r>
              <w:rPr>
                <w:sz w:val="20"/>
              </w:rPr>
              <w:t xml:space="preserve">IS ENVITA (UID: CZ-23E5-ODF, </w:t>
            </w:r>
            <w:proofErr w:type="spellStart"/>
            <w:r>
              <w:rPr>
                <w:sz w:val="20"/>
              </w:rPr>
              <w:t>Lč</w:t>
            </w:r>
            <w:proofErr w:type="spellEnd"/>
            <w:r>
              <w:rPr>
                <w:sz w:val="20"/>
              </w:rPr>
              <w:t>: 70875430-000-488)</w:t>
            </w:r>
          </w:p>
        </w:tc>
        <w:tc>
          <w:tcPr>
            <w:tcW w:w="19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B14" w:rsidRDefault="007F6B14"/>
        </w:tc>
      </w:tr>
      <w:tr w:rsidR="007F6B14">
        <w:trPr>
          <w:gridBefore w:val="1"/>
          <w:wBefore w:w="7" w:type="dxa"/>
          <w:trHeight w:val="1421"/>
        </w:trPr>
        <w:tc>
          <w:tcPr>
            <w:tcW w:w="7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B14" w:rsidRDefault="00240C2F">
            <w:pPr>
              <w:spacing w:after="64"/>
              <w:ind w:left="5"/>
            </w:pPr>
            <w:r>
              <w:rPr>
                <w:sz w:val="20"/>
              </w:rPr>
              <w:t>ODPADY - Základní evidence - Původce s jedním IČO</w:t>
            </w:r>
          </w:p>
          <w:p w:rsidR="007F6B14" w:rsidRDefault="00240C2F">
            <w:pPr>
              <w:spacing w:after="173"/>
              <w:ind w:left="202"/>
            </w:pPr>
            <w:r>
              <w:rPr>
                <w:sz w:val="20"/>
              </w:rPr>
              <w:t>Počet evidencí/zařízení: 1</w:t>
            </w:r>
          </w:p>
          <w:p w:rsidR="007F6B14" w:rsidRDefault="00240C2F">
            <w:pPr>
              <w:spacing w:after="0"/>
              <w:ind w:left="202"/>
            </w:pPr>
            <w:r>
              <w:rPr>
                <w:sz w:val="20"/>
              </w:rPr>
              <w:t>Počet licencí: 1</w:t>
            </w:r>
          </w:p>
        </w:tc>
        <w:tc>
          <w:tcPr>
            <w:tcW w:w="19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B14" w:rsidRDefault="00240C2F">
            <w:pPr>
              <w:spacing w:after="0"/>
              <w:ind w:right="5"/>
              <w:jc w:val="right"/>
            </w:pPr>
            <w:r>
              <w:rPr>
                <w:sz w:val="20"/>
              </w:rPr>
              <w:t>3 049,30 Kč</w:t>
            </w:r>
          </w:p>
        </w:tc>
      </w:tr>
      <w:tr w:rsidR="007F6B14">
        <w:trPr>
          <w:gridBefore w:val="1"/>
          <w:wBefore w:w="7" w:type="dxa"/>
          <w:trHeight w:val="1424"/>
        </w:trPr>
        <w:tc>
          <w:tcPr>
            <w:tcW w:w="7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B14" w:rsidRDefault="00240C2F">
            <w:pPr>
              <w:spacing w:after="98"/>
              <w:ind w:left="10"/>
            </w:pPr>
            <w:r>
              <w:rPr>
                <w:sz w:val="20"/>
              </w:rPr>
              <w:t>EVI Provoz (</w:t>
            </w:r>
            <w:proofErr w:type="spellStart"/>
            <w:r>
              <w:rPr>
                <w:sz w:val="20"/>
              </w:rPr>
              <w:t>Lč</w:t>
            </w:r>
            <w:proofErr w:type="spellEnd"/>
            <w:r>
              <w:rPr>
                <w:sz w:val="20"/>
              </w:rPr>
              <w:t>: 70875430-000-279)</w:t>
            </w:r>
          </w:p>
          <w:p w:rsidR="007F6B14" w:rsidRDefault="00240C2F">
            <w:pPr>
              <w:spacing w:after="146"/>
              <w:ind w:left="202"/>
            </w:pPr>
            <w:r>
              <w:rPr>
                <w:sz w:val="20"/>
              </w:rPr>
              <w:t>Počet evidencí/zařízení: 1</w:t>
            </w:r>
          </w:p>
          <w:p w:rsidR="007F6B14" w:rsidRDefault="00240C2F">
            <w:pPr>
              <w:spacing w:after="0"/>
              <w:ind w:left="202"/>
            </w:pPr>
            <w:r>
              <w:t>Počet licencí: 1</w:t>
            </w:r>
          </w:p>
        </w:tc>
        <w:tc>
          <w:tcPr>
            <w:tcW w:w="19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B14" w:rsidRDefault="007F6B14"/>
        </w:tc>
      </w:tr>
      <w:tr w:rsidR="007F6B14">
        <w:trPr>
          <w:gridBefore w:val="1"/>
          <w:wBefore w:w="7" w:type="dxa"/>
          <w:trHeight w:val="560"/>
        </w:trPr>
        <w:tc>
          <w:tcPr>
            <w:tcW w:w="7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B14" w:rsidRDefault="00240C2F">
            <w:pPr>
              <w:spacing w:after="0"/>
              <w:ind w:left="10"/>
            </w:pPr>
            <w:r>
              <w:rPr>
                <w:sz w:val="20"/>
              </w:rPr>
              <w:t>modul Evidence odpadů</w:t>
            </w:r>
          </w:p>
        </w:tc>
        <w:tc>
          <w:tcPr>
            <w:tcW w:w="19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6B14" w:rsidRDefault="00240C2F">
            <w:pPr>
              <w:spacing w:after="0"/>
              <w:jc w:val="right"/>
            </w:pPr>
            <w:r>
              <w:rPr>
                <w:sz w:val="20"/>
              </w:rPr>
              <w:t>0,00 Kč</w:t>
            </w:r>
          </w:p>
        </w:tc>
      </w:tr>
      <w:tr w:rsidR="007F6B14">
        <w:trPr>
          <w:gridBefore w:val="1"/>
          <w:wBefore w:w="7" w:type="dxa"/>
          <w:trHeight w:val="591"/>
        </w:trPr>
        <w:tc>
          <w:tcPr>
            <w:tcW w:w="7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B14" w:rsidRDefault="00240C2F">
            <w:pPr>
              <w:spacing w:after="0"/>
              <w:ind w:left="10"/>
            </w:pPr>
            <w:r>
              <w:rPr>
                <w:sz w:val="20"/>
              </w:rPr>
              <w:t xml:space="preserve">IS ENVITA (UID: CZ-3234-C8D, </w:t>
            </w:r>
            <w:proofErr w:type="spellStart"/>
            <w:r>
              <w:rPr>
                <w:sz w:val="20"/>
              </w:rPr>
              <w:t>Lč</w:t>
            </w:r>
            <w:proofErr w:type="spellEnd"/>
            <w:r>
              <w:rPr>
                <w:sz w:val="20"/>
              </w:rPr>
              <w:t>: 70875430-000-848)</w:t>
            </w:r>
          </w:p>
        </w:tc>
        <w:tc>
          <w:tcPr>
            <w:tcW w:w="19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B14" w:rsidRDefault="007F6B14"/>
        </w:tc>
      </w:tr>
      <w:tr w:rsidR="007F6B14">
        <w:trPr>
          <w:gridBefore w:val="1"/>
          <w:wBefore w:w="7" w:type="dxa"/>
          <w:trHeight w:val="1421"/>
        </w:trPr>
        <w:tc>
          <w:tcPr>
            <w:tcW w:w="7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B14" w:rsidRDefault="00240C2F">
            <w:pPr>
              <w:spacing w:after="102"/>
              <w:ind w:left="5"/>
            </w:pPr>
            <w:r>
              <w:rPr>
                <w:sz w:val="20"/>
              </w:rPr>
              <w:t>ODPADY - Základní evidence - Původce s jedním IČO</w:t>
            </w:r>
          </w:p>
          <w:p w:rsidR="007F6B14" w:rsidRDefault="00240C2F">
            <w:pPr>
              <w:spacing w:after="164"/>
              <w:ind w:left="202"/>
            </w:pPr>
            <w:r>
              <w:rPr>
                <w:sz w:val="20"/>
              </w:rPr>
              <w:t>Počet evidencí/zařízení: 1</w:t>
            </w:r>
          </w:p>
          <w:p w:rsidR="007F6B14" w:rsidRDefault="00240C2F">
            <w:pPr>
              <w:spacing w:after="0"/>
              <w:ind w:left="202"/>
            </w:pPr>
            <w:r>
              <w:rPr>
                <w:sz w:val="20"/>
              </w:rPr>
              <w:t>Počet licencí: 1</w:t>
            </w:r>
          </w:p>
        </w:tc>
        <w:tc>
          <w:tcPr>
            <w:tcW w:w="19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6B14" w:rsidRDefault="00240C2F">
            <w:pPr>
              <w:spacing w:after="0"/>
              <w:jc w:val="right"/>
            </w:pPr>
            <w:r>
              <w:rPr>
                <w:sz w:val="20"/>
              </w:rPr>
              <w:t>3 049,30 Kč</w:t>
            </w:r>
          </w:p>
        </w:tc>
      </w:tr>
      <w:tr w:rsidR="007F6B14">
        <w:trPr>
          <w:gridBefore w:val="1"/>
          <w:wBefore w:w="7" w:type="dxa"/>
          <w:trHeight w:val="588"/>
        </w:trPr>
        <w:tc>
          <w:tcPr>
            <w:tcW w:w="7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6B14" w:rsidRDefault="00240C2F">
            <w:pPr>
              <w:spacing w:after="0"/>
            </w:pPr>
            <w:r>
              <w:t>Celkem</w:t>
            </w:r>
          </w:p>
        </w:tc>
        <w:tc>
          <w:tcPr>
            <w:tcW w:w="19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6B14" w:rsidRDefault="00240C2F">
            <w:pPr>
              <w:spacing w:after="0"/>
              <w:ind w:right="10"/>
              <w:jc w:val="right"/>
            </w:pPr>
            <w:r>
              <w:rPr>
                <w:sz w:val="20"/>
              </w:rPr>
              <w:t>6 098,60 Kč</w:t>
            </w:r>
          </w:p>
        </w:tc>
      </w:tr>
      <w:tr w:rsidR="007F6B14">
        <w:trPr>
          <w:gridAfter w:val="1"/>
          <w:wAfter w:w="6" w:type="dxa"/>
          <w:trHeight w:val="343"/>
        </w:trPr>
        <w:tc>
          <w:tcPr>
            <w:tcW w:w="6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F6B14" w:rsidRDefault="00240C2F">
            <w:pPr>
              <w:spacing w:after="0"/>
            </w:pPr>
            <w:r>
              <w:t>3. Splatnost daňových dokladů</w:t>
            </w:r>
          </w:p>
        </w:tc>
        <w:tc>
          <w:tcPr>
            <w:tcW w:w="273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F6B14" w:rsidRDefault="007F6B14"/>
        </w:tc>
      </w:tr>
      <w:tr w:rsidR="007F6B14">
        <w:trPr>
          <w:gridAfter w:val="1"/>
          <w:wAfter w:w="6" w:type="dxa"/>
          <w:trHeight w:val="430"/>
        </w:trPr>
        <w:tc>
          <w:tcPr>
            <w:tcW w:w="6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6B14" w:rsidRDefault="00240C2F">
            <w:pPr>
              <w:spacing w:after="0"/>
              <w:ind w:left="278"/>
            </w:pPr>
            <w:r>
              <w:rPr>
                <w:sz w:val="20"/>
              </w:rPr>
              <w:t>Splatnost daňových dokladů dle odstavce 3.3 smlouvy (dnů)</w:t>
            </w:r>
          </w:p>
        </w:tc>
        <w:tc>
          <w:tcPr>
            <w:tcW w:w="27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6B14" w:rsidRDefault="00240C2F">
            <w:pPr>
              <w:spacing w:after="0"/>
              <w:jc w:val="right"/>
            </w:pPr>
            <w:r>
              <w:rPr>
                <w:sz w:val="20"/>
              </w:rPr>
              <w:t>14</w:t>
            </w:r>
          </w:p>
        </w:tc>
      </w:tr>
    </w:tbl>
    <w:p w:rsidR="007F6B14" w:rsidRDefault="00240C2F">
      <w:pPr>
        <w:tabs>
          <w:tab w:val="right" w:pos="8783"/>
        </w:tabs>
        <w:spacing w:after="24"/>
        <w:ind w:left="-1"/>
      </w:pPr>
      <w:proofErr w:type="spellStart"/>
      <w:r>
        <w:rPr>
          <w:sz w:val="20"/>
        </w:rPr>
        <w:lastRenderedPageBreak/>
        <w:t>inis@ft</w:t>
      </w:r>
      <w:proofErr w:type="spellEnd"/>
      <w:r>
        <w:rPr>
          <w:sz w:val="20"/>
        </w:rPr>
        <w:tab/>
        <w:t>Strana 1</w:t>
      </w:r>
    </w:p>
    <w:tbl>
      <w:tblPr>
        <w:tblStyle w:val="TableGrid"/>
        <w:tblW w:w="9588" w:type="dxa"/>
        <w:tblInd w:w="46" w:type="dxa"/>
        <w:tblCellMar>
          <w:top w:w="0" w:type="dxa"/>
          <w:left w:w="75" w:type="dxa"/>
          <w:bottom w:w="31" w:type="dxa"/>
          <w:right w:w="115" w:type="dxa"/>
        </w:tblCellMar>
        <w:tblLook w:val="04A0" w:firstRow="1" w:lastRow="0" w:firstColumn="1" w:lastColumn="0" w:noHBand="0" w:noVBand="1"/>
      </w:tblPr>
      <w:tblGrid>
        <w:gridCol w:w="9588"/>
      </w:tblGrid>
      <w:tr w:rsidR="007F6B14">
        <w:trPr>
          <w:trHeight w:val="350"/>
        </w:trPr>
        <w:tc>
          <w:tcPr>
            <w:tcW w:w="9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F6B14" w:rsidRDefault="00240C2F">
            <w:pPr>
              <w:spacing w:after="0"/>
            </w:pPr>
            <w:r>
              <w:t>4. Cen ostatních služeb</w:t>
            </w:r>
          </w:p>
        </w:tc>
      </w:tr>
      <w:tr w:rsidR="007F6B14">
        <w:trPr>
          <w:trHeight w:val="440"/>
        </w:trPr>
        <w:tc>
          <w:tcPr>
            <w:tcW w:w="9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6B14" w:rsidRDefault="00240C2F">
            <w:pPr>
              <w:spacing w:after="0"/>
              <w:ind w:left="125"/>
              <w:jc w:val="center"/>
            </w:pPr>
            <w:r>
              <w:rPr>
                <w:sz w:val="20"/>
              </w:rPr>
              <w:t xml:space="preserve">Ceny ostatních služeb jsou uvedeny v ceníku dodavatele zveřejněném na jeho internetových stránkách </w:t>
            </w:r>
            <w:r>
              <w:rPr>
                <w:sz w:val="20"/>
                <w:u w:val="single" w:color="000000"/>
              </w:rPr>
              <w:t>www.inisoft.cz</w:t>
            </w:r>
          </w:p>
        </w:tc>
      </w:tr>
    </w:tbl>
    <w:p w:rsidR="007F6B14" w:rsidRDefault="00240C2F">
      <w:pPr>
        <w:spacing w:after="12998"/>
        <w:ind w:left="53"/>
      </w:pPr>
      <w:r>
        <w:rPr>
          <w:rFonts w:ascii="Times New Roman" w:eastAsia="Times New Roman" w:hAnsi="Times New Roman" w:cs="Times New Roman"/>
          <w:sz w:val="20"/>
        </w:rPr>
        <w:t xml:space="preserve">Pozn.: Všechny </w:t>
      </w:r>
      <w:proofErr w:type="spellStart"/>
      <w:r>
        <w:rPr>
          <w:rFonts w:ascii="Times New Roman" w:eastAsia="Times New Roman" w:hAnsi="Times New Roman" w:cs="Times New Roman"/>
          <w:sz w:val="20"/>
        </w:rPr>
        <w:t>cenyjsou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uvedeny bezplatné DPH</w:t>
      </w:r>
    </w:p>
    <w:p w:rsidR="007F6B14" w:rsidRDefault="00240C2F">
      <w:pPr>
        <w:tabs>
          <w:tab w:val="right" w:pos="8783"/>
        </w:tabs>
        <w:spacing w:after="24"/>
      </w:pPr>
      <w:proofErr w:type="spellStart"/>
      <w:r>
        <w:rPr>
          <w:sz w:val="26"/>
        </w:rPr>
        <w:lastRenderedPageBreak/>
        <w:t>inis@ft</w:t>
      </w:r>
      <w:proofErr w:type="spellEnd"/>
      <w:r>
        <w:rPr>
          <w:sz w:val="26"/>
        </w:rPr>
        <w:tab/>
        <w:t>Strana 2</w:t>
      </w:r>
    </w:p>
    <w:sectPr w:rsidR="007F6B14">
      <w:pgSz w:w="11880" w:h="16862"/>
      <w:pgMar w:top="1642" w:right="1508" w:bottom="776" w:left="158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14"/>
    <w:rsid w:val="00240C2F"/>
    <w:rsid w:val="007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DA03BE-8FB6-40F3-900D-74A1F634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Kahánek (ŘED)</dc:creator>
  <cp:keywords/>
  <cp:lastModifiedBy>Martin Kahánek (ŘED)</cp:lastModifiedBy>
  <cp:revision>2</cp:revision>
  <dcterms:created xsi:type="dcterms:W3CDTF">2025-01-16T11:13:00Z</dcterms:created>
  <dcterms:modified xsi:type="dcterms:W3CDTF">2025-01-16T11:13:00Z</dcterms:modified>
</cp:coreProperties>
</file>