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4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2866390</wp:posOffset>
                </wp:positionH>
                <wp:positionV relativeFrom="paragraph">
                  <wp:posOffset>152400</wp:posOffset>
                </wp:positionV>
                <wp:extent cx="1649095" cy="22542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909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smlouvy zhotovitele: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5.70000000000002pt;margin-top:12.pt;width:129.84999999999999pt;height:17.7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smlouvy zhotovitele: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smlouvy objednatele: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840/2022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„VT Paličský potok - Dolní Lažany - propustek“ - projektová dokumentace</w:t>
        <w:br/>
        <w:t>(DUSP/DPS)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mc:AlternateContent>
          <mc:Choice Requires="wps">
            <w:drawing>
              <wp:anchor distT="25400" distB="0" distL="114300" distR="114300" simplePos="0" relativeHeight="125829380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304800</wp:posOffset>
                </wp:positionV>
                <wp:extent cx="804545" cy="23495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700000000000003pt;margin-top:24.pt;width:63.350000000000001pt;height:18.5pt;z-index:-125829373;mso-wrap-distance-left:9.pt;mso-wrap-distance-top:2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3399790</wp:posOffset>
                </wp:positionH>
                <wp:positionV relativeFrom="paragraph">
                  <wp:posOffset>304800</wp:posOffset>
                </wp:positionV>
                <wp:extent cx="2225040" cy="70993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5040" cy="709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4219, 430 03 Chomutov 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CZ70889988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67.69999999999999pt;margin-top:24.pt;width:175.20000000000002pt;height:55.89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Bezručova 4219, 430 03 Chomutov 70889988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CZ70889988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469900</wp:posOffset>
                </wp:positionV>
                <wp:extent cx="368935" cy="54864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8935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700000000000003pt;margin-top:37.pt;width:29.050000000000001pt;height:43.200000000000003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smlouva byla uzavřena mezi: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 zástupce ve věcech smluvních: oprávněn jednat o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objednatele: bankovní spojení: 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p>
      <w:pPr>
        <w:pStyle w:val="Style13"/>
        <w:keepNext/>
        <w:keepLines/>
        <w:widowControl w:val="0"/>
        <w:shd w:val="clear" w:color="auto" w:fill="auto"/>
        <w:tabs>
          <w:tab w:pos="4219" w:val="left"/>
        </w:tabs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INTERPROJEKT ODPADY, s.r.o.</w:t>
      </w:r>
      <w:bookmarkEnd w:id="0"/>
      <w:bookmarkEnd w:id="1"/>
      <w:bookmarkEnd w:id="2"/>
    </w:p>
    <w:p>
      <w:pPr>
        <w:pStyle w:val="Style13"/>
        <w:keepNext/>
        <w:keepLines/>
        <w:widowControl w:val="0"/>
        <w:shd w:val="clear" w:color="auto" w:fill="auto"/>
        <w:tabs>
          <w:tab w:pos="4219" w:val="left"/>
        </w:tabs>
        <w:bidi w:val="0"/>
        <w:spacing w:before="0" w:after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Heleny Malířové 11, 169 00, Praha 6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 oprávněn(i) jednat o věcech smluvních: oprávněn(i) jednat o věcech technických: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tabs>
          <w:tab w:pos="421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26473224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1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 26473224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7"/>
      <w:bookmarkEnd w:id="8"/>
      <w:bookmarkEnd w:id="9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0" w:name="bookmark10"/>
      <w:bookmarkStart w:id="11" w:name="bookmark11"/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Městský soud v Praze, v oddíl C, vložka č. 84495, zápis dne 28.9.2001</w:t>
      </w:r>
      <w:bookmarkEnd w:id="10"/>
      <w:bookmarkEnd w:id="11"/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(společně dále jen „smluvní strany“)</w:t>
      </w:r>
      <w:bookmarkEnd w:id="13"/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9" w:h="16838"/>
          <w:pgMar w:top="1286" w:left="1360" w:right="1384" w:bottom="1416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Tento dodatek je uzavírán z důvodu: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probíhajících jednání s Krajskou správou a údržbou silnic Karlovarského kraje a obcí Lipová za účelem koordinace investičních záměrů těchto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4 k SOD 840/2022 subjektů (oprava silnice III/21413, revitalizaci obce Dolní Lažany) v lokalitě plánované rekonstrukce zatrubněné části Paličského potoka. Koordinace se týká nejenom technického řešení, ale také součinnosti při realizaci záměrů.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je předmětem dodatku změna na základě změny Stavebního zákona a souvisejících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Čl. II. Dílo a způsob provedení díla a Čl. III. Termín plnění: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II. DÍLO A ZPŮSOB PROVEDENÍ DÍLA</w:t>
      </w:r>
      <w:bookmarkEnd w:id="15"/>
      <w:bookmarkEnd w:id="16"/>
      <w:bookmarkEnd w:id="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Kompletní projektová dokumentace bude předána celkem v počtu 6x paré tištěné + elektronicky, a to 1x ve formátu (_.pdf), a 1x v editovatelných formátech pro potřeby objednatele (_.doc, _.docx, _.xls, _.xlsx, _.dwg a dalších), výkresy budou v souřadnicovém systému S-JTSK.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Kompletní projektová dokumentace bude předána celkem v počtu 6x paré tištěné + elektronicky, a to 1x ve formátu (_.pdf), a 1x v editovatelných formátech pro potřeby objednatele (_.doc, _.docx, _.xls, _.xlsx, _.dwg a dalších), výkresy budou v souřadnicovém systému S-JTSK.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Elektronická dokumentace bude tvořena souborem elektronických výkresů a dokumentů, které budou strukturované dle vyhlášky 190/2024 Sb. o podrobnostech provozu informačních systémů stavební správy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Elektronická verze dokumentace určená pro podání přes informační systém stavební správy bude opatřena kvalifikovaným časovým razítkem a elektronickým autorizačním podpisem v příslušném oboru či specializaci.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8" w:name="bookmark18"/>
      <w:bookmarkStart w:id="19" w:name="bookmark19"/>
      <w:bookmarkStart w:id="20" w:name="bookmark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TERMÍNY PLNĚNÍ</w:t>
      </w:r>
      <w:bookmarkEnd w:id="18"/>
      <w:bookmarkEnd w:id="19"/>
      <w:bookmarkEnd w:id="2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dílčí termín - předání kompletní PD (2 x tištěné + 1 x elektronicky) po projednání na ZVV: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49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17.01.2025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+ 2 x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dílčí termín - předání kompletní PD (2 x tištěné + 1 x elektronicky) po projednání na ZVV: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498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9" w:h="16838"/>
          <w:pgMar w:top="657" w:left="1394" w:right="1384" w:bottom="1220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30.05.2025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4" w:val="left"/>
        </w:tabs>
        <w:bidi w:val="0"/>
        <w:spacing w:before="0" w:after="0" w:line="240" w:lineRule="auto"/>
        <w:ind w:left="0" w:right="0" w:firstLine="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+ 2 x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2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4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4" w:val="left"/>
        </w:tabs>
        <w:bidi w:val="0"/>
        <w:spacing w:before="0" w:after="200" w:line="240" w:lineRule="auto"/>
        <w:ind w:left="0" w:right="0" w:firstLine="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4" w:val="left"/>
        </w:tabs>
        <w:bidi w:val="0"/>
        <w:spacing w:before="0" w:after="200" w:line="240" w:lineRule="auto"/>
        <w:ind w:left="440" w:right="0" w:hanging="44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4" w:val="left"/>
        </w:tabs>
        <w:bidi w:val="0"/>
        <w:spacing w:before="0" w:after="200" w:line="240" w:lineRule="auto"/>
        <w:ind w:left="0" w:right="0" w:firstLine="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4" w:val="left"/>
        </w:tabs>
        <w:bidi w:val="0"/>
        <w:spacing w:before="0" w:after="440" w:line="240" w:lineRule="auto"/>
        <w:ind w:left="440" w:right="0" w:hanging="44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962" w:val="left"/>
        </w:tabs>
        <w:bidi w:val="0"/>
        <w:spacing w:before="0" w:after="0" w:line="240" w:lineRule="auto"/>
        <w:ind w:left="0" w:right="0" w:firstLine="440"/>
        <w:jc w:val="both"/>
        <w:sectPr>
          <w:footnotePr>
            <w:pos w:val="pageBottom"/>
            <w:numFmt w:val="decimal"/>
            <w:numRestart w:val="continuous"/>
          </w:footnotePr>
          <w:pgSz w:w="11909" w:h="16838"/>
          <w:pgMar w:top="1281" w:left="1394" w:right="1389" w:bottom="671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dne:</w:t>
        <w:tab/>
        <w:t>v Praze dne: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2" w:after="10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81" w:left="0" w:right="0" w:bottom="671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81" w:left="1821" w:right="2363" w:bottom="6719" w:header="0" w:footer="3" w:gutter="0"/>
          <w:cols w:num="2" w:space="133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</w:t>
      </w:r>
    </w:p>
    <w:p>
      <w:pPr>
        <w:widowControl w:val="0"/>
        <w:spacing w:line="149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81" w:left="0" w:right="0" w:bottom="142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1156335</wp:posOffset>
                </wp:positionH>
                <wp:positionV relativeFrom="paragraph">
                  <wp:posOffset>12700</wp:posOffset>
                </wp:positionV>
                <wp:extent cx="1688465" cy="847090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8465" cy="847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investiční ředitel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Povodí Ohře, státní podnik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objednatele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91.049999999999997pt;margin-top:1.pt;width:132.94999999999999pt;height:66.700000000000003pt;z-index:-1258293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investiční ředitel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8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Povodí Ohře, státní podnik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18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INTERPROJEKT ODPADY, s.r.o.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281" w:left="4480" w:right="1389" w:bottom="142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71.69999999999999pt;margin-top:770.85000000000002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71.69999999999999pt;margin-top:770.85000000000002pt;width:53.050000000000004pt;height:12.9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4808220</wp:posOffset>
              </wp:positionH>
              <wp:positionV relativeFrom="page">
                <wp:posOffset>435610</wp:posOffset>
              </wp:positionV>
              <wp:extent cx="1856105" cy="18923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56105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Dodatek č. 4 k SOD 840/2022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78.60000000000002pt;margin-top:34.300000000000004pt;width:146.15000000000001pt;height:14.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Dodatek č. 4 k SOD 840/2022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9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18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