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5FAB68C8" w:rsidR="006243DD" w:rsidRPr="000C5368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2B329F">
        <w:rPr>
          <w:rFonts w:ascii="Times New Roman" w:hAnsi="Times New Roman" w:cs="Times New Roman"/>
          <w:sz w:val="23"/>
          <w:szCs w:val="23"/>
        </w:rPr>
        <w:tab/>
      </w:r>
      <w:r w:rsidR="000C5368">
        <w:rPr>
          <w:rFonts w:ascii="Times New Roman" w:hAnsi="Times New Roman" w:cs="Times New Roman"/>
          <w:sz w:val="23"/>
          <w:szCs w:val="23"/>
        </w:rPr>
        <w:t xml:space="preserve">Nemocnice ve Frýdku – Místku, </w:t>
      </w:r>
      <w:proofErr w:type="spellStart"/>
      <w:r w:rsidR="000C5368">
        <w:rPr>
          <w:rFonts w:ascii="Times New Roman" w:hAnsi="Times New Roman" w:cs="Times New Roman"/>
          <w:sz w:val="23"/>
          <w:szCs w:val="23"/>
        </w:rPr>
        <w:t>p.o</w:t>
      </w:r>
      <w:proofErr w:type="spellEnd"/>
      <w:r w:rsidR="000C5368">
        <w:rPr>
          <w:rFonts w:ascii="Times New Roman" w:hAnsi="Times New Roman" w:cs="Times New Roman"/>
          <w:sz w:val="23"/>
          <w:szCs w:val="23"/>
        </w:rPr>
        <w:t>.</w:t>
      </w:r>
    </w:p>
    <w:p w14:paraId="3ABA4BA0" w14:textId="25345A43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844F1A">
        <w:rPr>
          <w:rFonts w:ascii="Times New Roman" w:hAnsi="Times New Roman" w:cs="Times New Roman"/>
          <w:sz w:val="23"/>
          <w:szCs w:val="23"/>
        </w:rPr>
        <w:t>00</w:t>
      </w:r>
      <w:r w:rsidR="000C5368">
        <w:rPr>
          <w:rFonts w:ascii="Times New Roman" w:hAnsi="Times New Roman" w:cs="Times New Roman"/>
          <w:sz w:val="23"/>
          <w:szCs w:val="23"/>
        </w:rPr>
        <w:t>534188</w:t>
      </w:r>
    </w:p>
    <w:p w14:paraId="17F40E8C" w14:textId="6DBFBA53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D87070">
        <w:rPr>
          <w:rFonts w:ascii="Times New Roman" w:hAnsi="Times New Roman" w:cs="Times New Roman"/>
          <w:sz w:val="23"/>
          <w:szCs w:val="23"/>
        </w:rPr>
        <w:t>CZ</w:t>
      </w:r>
      <w:r w:rsidR="00844F1A">
        <w:rPr>
          <w:rFonts w:ascii="Times New Roman" w:hAnsi="Times New Roman" w:cs="Times New Roman"/>
          <w:sz w:val="23"/>
          <w:szCs w:val="23"/>
        </w:rPr>
        <w:t>00</w:t>
      </w:r>
      <w:r w:rsidR="000C5368">
        <w:rPr>
          <w:rFonts w:ascii="Times New Roman" w:hAnsi="Times New Roman" w:cs="Times New Roman"/>
          <w:sz w:val="23"/>
          <w:szCs w:val="23"/>
        </w:rPr>
        <w:t>534188</w:t>
      </w:r>
    </w:p>
    <w:p w14:paraId="08DEC709" w14:textId="1B345F26" w:rsidR="006243DD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C5368">
        <w:rPr>
          <w:rFonts w:ascii="Times New Roman" w:hAnsi="Times New Roman" w:cs="Times New Roman"/>
          <w:sz w:val="23"/>
          <w:szCs w:val="23"/>
        </w:rPr>
        <w:t xml:space="preserve">El. Krásnohorské 321, Frýdek, 738 01 </w:t>
      </w:r>
      <w:proofErr w:type="gramStart"/>
      <w:r w:rsidR="000C5368">
        <w:rPr>
          <w:rFonts w:ascii="Times New Roman" w:hAnsi="Times New Roman" w:cs="Times New Roman"/>
          <w:sz w:val="23"/>
          <w:szCs w:val="23"/>
        </w:rPr>
        <w:t>Frýdek - Místek</w:t>
      </w:r>
      <w:proofErr w:type="gramEnd"/>
    </w:p>
    <w:p w14:paraId="3839F6A7" w14:textId="74F64941" w:rsidR="00DE2453" w:rsidRPr="00AE5DFC" w:rsidRDefault="006243DD" w:rsidP="000C5368">
      <w:pPr>
        <w:spacing w:after="0" w:line="360" w:lineRule="auto"/>
        <w:ind w:left="2124" w:hanging="2124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="00214838">
        <w:rPr>
          <w:rFonts w:ascii="Times New Roman" w:hAnsi="Times New Roman" w:cs="Times New Roman"/>
          <w:sz w:val="23"/>
          <w:szCs w:val="23"/>
        </w:rPr>
        <w:tab/>
        <w:t>Ing</w:t>
      </w:r>
      <w:r w:rsidR="00040BB8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0C5368">
        <w:rPr>
          <w:rFonts w:ascii="Times New Roman" w:hAnsi="Times New Roman" w:cs="Times New Roman"/>
          <w:sz w:val="23"/>
          <w:szCs w:val="23"/>
        </w:rPr>
        <w:t>Tomaš</w:t>
      </w:r>
      <w:proofErr w:type="spellEnd"/>
      <w:r w:rsidR="000C5368">
        <w:rPr>
          <w:rFonts w:ascii="Times New Roman" w:hAnsi="Times New Roman" w:cs="Times New Roman"/>
          <w:sz w:val="23"/>
          <w:szCs w:val="23"/>
        </w:rPr>
        <w:t xml:space="preserve"> Stejskal, MBA, LL.M, ředitel</w:t>
      </w:r>
    </w:p>
    <w:p w14:paraId="6FC11675" w14:textId="22CF9CD2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C5368">
        <w:rPr>
          <w:rFonts w:ascii="Times New Roman" w:hAnsi="Times New Roman" w:cs="Times New Roman"/>
          <w:sz w:val="23"/>
          <w:szCs w:val="23"/>
        </w:rPr>
        <w:t>xupk6pr</w:t>
      </w:r>
    </w:p>
    <w:p w14:paraId="5D878894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47DA1A5" w14:textId="77777777" w:rsidR="00E01D8A" w:rsidRPr="00AE5DFC" w:rsidRDefault="00E01D8A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29C4941" w14:textId="0CD9132E" w:rsidR="006243DD" w:rsidRPr="00AE5DFC" w:rsidRDefault="006243DD" w:rsidP="003D31E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1F71A94" w14:textId="77777777" w:rsidR="00737AC7" w:rsidRPr="00AE5DFC" w:rsidRDefault="00737AC7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reg.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Projekt je zaměřen na zlepšení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>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webcast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webcastů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>, vzdělávacích akcí a worshopů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ust.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lastRenderedPageBreak/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46783318" w:rsidR="006243DD" w:rsidRPr="00AE5DFC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FC692E" w14:textId="339BD917" w:rsidR="006243DD" w:rsidRPr="00AE5DFC" w:rsidRDefault="006243DD" w:rsidP="005F2D0B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Zapojený subjekt:</w:t>
      </w:r>
      <w:r w:rsidR="002B32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2B167912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0C5368">
        <w:rPr>
          <w:rFonts w:ascii="Times New Roman" w:hAnsi="Times New Roman" w:cs="Times New Roman"/>
          <w:sz w:val="23"/>
          <w:szCs w:val="23"/>
        </w:rPr>
        <w:t xml:space="preserve">e Frýdku – Místku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041F470B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D7F70">
        <w:rPr>
          <w:rFonts w:ascii="Times New Roman" w:hAnsi="Times New Roman" w:cs="Times New Roman"/>
          <w:sz w:val="23"/>
          <w:szCs w:val="23"/>
        </w:rPr>
        <w:t>………..</w:t>
      </w: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475D60F7" w:rsidR="006243DD" w:rsidRPr="00AE5DFC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844F1A">
        <w:rPr>
          <w:rFonts w:ascii="Times New Roman" w:hAnsi="Times New Roman" w:cs="Times New Roman"/>
          <w:sz w:val="23"/>
          <w:szCs w:val="23"/>
        </w:rPr>
        <w:t xml:space="preserve">za </w:t>
      </w:r>
      <w:r w:rsidR="000C5368">
        <w:rPr>
          <w:rFonts w:ascii="Times New Roman" w:hAnsi="Times New Roman" w:cs="Times New Roman"/>
          <w:sz w:val="23"/>
          <w:szCs w:val="23"/>
        </w:rPr>
        <w:t xml:space="preserve">Nemocnici ve Frýdku – Místku, </w:t>
      </w:r>
      <w:proofErr w:type="spellStart"/>
      <w:r w:rsidR="000C5368">
        <w:rPr>
          <w:rFonts w:ascii="Times New Roman" w:hAnsi="Times New Roman" w:cs="Times New Roman"/>
          <w:sz w:val="23"/>
          <w:szCs w:val="23"/>
        </w:rPr>
        <w:t>p.o</w:t>
      </w:r>
      <w:proofErr w:type="spellEnd"/>
      <w:r w:rsidR="000C5368">
        <w:rPr>
          <w:rFonts w:ascii="Times New Roman" w:hAnsi="Times New Roman" w:cs="Times New Roman"/>
          <w:sz w:val="23"/>
          <w:szCs w:val="23"/>
        </w:rPr>
        <w:t>.</w:t>
      </w:r>
    </w:p>
    <w:p w14:paraId="51E5F09D" w14:textId="5CCFC5C1" w:rsidR="008003FF" w:rsidRPr="00AE5DFC" w:rsidRDefault="006243DD" w:rsidP="000C53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844F1A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0C5368">
        <w:rPr>
          <w:rFonts w:ascii="Times New Roman" w:hAnsi="Times New Roman" w:cs="Times New Roman"/>
          <w:sz w:val="23"/>
          <w:szCs w:val="23"/>
        </w:rPr>
        <w:t>Ing. Tomáš Stejskal, MBA, LL.M</w:t>
      </w:r>
      <w:r w:rsidR="00844F1A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0684CDE8" w14:textId="3689EDC2" w:rsidR="006243DD" w:rsidRPr="00AE5DFC" w:rsidRDefault="006243DD" w:rsidP="003D7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280" w:hanging="528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751D01">
        <w:rPr>
          <w:rFonts w:ascii="Times New Roman" w:hAnsi="Times New Roman" w:cs="Times New Roman"/>
          <w:sz w:val="23"/>
          <w:szCs w:val="23"/>
        </w:rPr>
        <w:tab/>
      </w:r>
      <w:r w:rsidR="000C5368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0C5368">
        <w:rPr>
          <w:rFonts w:ascii="Times New Roman" w:hAnsi="Times New Roman" w:cs="Times New Roman"/>
          <w:sz w:val="23"/>
          <w:szCs w:val="23"/>
        </w:rPr>
        <w:t>ředitel</w:t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sectPr w:rsidR="00E83B9E" w:rsidRPr="00AE5DFC" w:rsidSect="000B4693">
      <w:headerReference w:type="default" r:id="rId7"/>
      <w:footerReference w:type="default" r:id="rId8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3AC5" w14:textId="77777777" w:rsidR="007B19F8" w:rsidRDefault="007B19F8">
      <w:pPr>
        <w:spacing w:after="0" w:line="240" w:lineRule="auto"/>
      </w:pPr>
      <w:r>
        <w:separator/>
      </w:r>
    </w:p>
  </w:endnote>
  <w:endnote w:type="continuationSeparator" w:id="0">
    <w:p w14:paraId="583396C3" w14:textId="77777777" w:rsidR="007B19F8" w:rsidRDefault="007B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C897" w14:textId="77777777" w:rsidR="007B19F8" w:rsidRDefault="007B19F8">
      <w:pPr>
        <w:spacing w:after="0" w:line="240" w:lineRule="auto"/>
      </w:pPr>
      <w:r>
        <w:separator/>
      </w:r>
    </w:p>
  </w:footnote>
  <w:footnote w:type="continuationSeparator" w:id="0">
    <w:p w14:paraId="6B4490AA" w14:textId="77777777" w:rsidR="007B19F8" w:rsidRDefault="007B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7984D14"/>
    <w:lvl w:ilvl="0" w:tplc="52840C34">
      <w:start w:val="1"/>
      <w:numFmt w:val="lowerLetter"/>
      <w:lvlText w:val="%1)"/>
      <w:lvlJc w:val="left"/>
      <w:pPr>
        <w:ind w:left="107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2F9C"/>
    <w:rsid w:val="00017513"/>
    <w:rsid w:val="00026AE5"/>
    <w:rsid w:val="00040BB8"/>
    <w:rsid w:val="00064157"/>
    <w:rsid w:val="000B38F4"/>
    <w:rsid w:val="000B4693"/>
    <w:rsid w:val="000C5368"/>
    <w:rsid w:val="000C752B"/>
    <w:rsid w:val="000D5EAF"/>
    <w:rsid w:val="000D74B0"/>
    <w:rsid w:val="000F55F3"/>
    <w:rsid w:val="000F753A"/>
    <w:rsid w:val="0010359E"/>
    <w:rsid w:val="00104169"/>
    <w:rsid w:val="00122F45"/>
    <w:rsid w:val="0012541E"/>
    <w:rsid w:val="0015384B"/>
    <w:rsid w:val="0016051F"/>
    <w:rsid w:val="0018379C"/>
    <w:rsid w:val="00183CE3"/>
    <w:rsid w:val="001943CC"/>
    <w:rsid w:val="001A3E62"/>
    <w:rsid w:val="001B5E52"/>
    <w:rsid w:val="001C1C97"/>
    <w:rsid w:val="001C3469"/>
    <w:rsid w:val="001C3C85"/>
    <w:rsid w:val="001C69C2"/>
    <w:rsid w:val="001D5673"/>
    <w:rsid w:val="001E6E78"/>
    <w:rsid w:val="001E75EC"/>
    <w:rsid w:val="00210077"/>
    <w:rsid w:val="00214838"/>
    <w:rsid w:val="00226756"/>
    <w:rsid w:val="00234E67"/>
    <w:rsid w:val="00257912"/>
    <w:rsid w:val="00263A9B"/>
    <w:rsid w:val="0027465F"/>
    <w:rsid w:val="00284D56"/>
    <w:rsid w:val="00286136"/>
    <w:rsid w:val="002939C0"/>
    <w:rsid w:val="002A4411"/>
    <w:rsid w:val="002B329F"/>
    <w:rsid w:val="002B6205"/>
    <w:rsid w:val="002B642D"/>
    <w:rsid w:val="002C74AF"/>
    <w:rsid w:val="002E4AF3"/>
    <w:rsid w:val="00334EF9"/>
    <w:rsid w:val="003A23A6"/>
    <w:rsid w:val="003B2F05"/>
    <w:rsid w:val="003B3B19"/>
    <w:rsid w:val="003C0D39"/>
    <w:rsid w:val="003D31EA"/>
    <w:rsid w:val="003D4A52"/>
    <w:rsid w:val="003D7F70"/>
    <w:rsid w:val="003E2424"/>
    <w:rsid w:val="003E385F"/>
    <w:rsid w:val="003E539F"/>
    <w:rsid w:val="004032B8"/>
    <w:rsid w:val="00406432"/>
    <w:rsid w:val="00406CEB"/>
    <w:rsid w:val="00417E92"/>
    <w:rsid w:val="004255D9"/>
    <w:rsid w:val="00436025"/>
    <w:rsid w:val="00436FEE"/>
    <w:rsid w:val="0044181F"/>
    <w:rsid w:val="004523B1"/>
    <w:rsid w:val="004831D3"/>
    <w:rsid w:val="00496C99"/>
    <w:rsid w:val="004E2DD4"/>
    <w:rsid w:val="004F0EB8"/>
    <w:rsid w:val="0051425B"/>
    <w:rsid w:val="00515EF6"/>
    <w:rsid w:val="00540468"/>
    <w:rsid w:val="0054249F"/>
    <w:rsid w:val="0054366D"/>
    <w:rsid w:val="00550553"/>
    <w:rsid w:val="0057227E"/>
    <w:rsid w:val="005726C8"/>
    <w:rsid w:val="00580B3E"/>
    <w:rsid w:val="00584959"/>
    <w:rsid w:val="005D5855"/>
    <w:rsid w:val="005F2D0B"/>
    <w:rsid w:val="005F3C90"/>
    <w:rsid w:val="006243DD"/>
    <w:rsid w:val="00652860"/>
    <w:rsid w:val="00660756"/>
    <w:rsid w:val="00680576"/>
    <w:rsid w:val="006814BA"/>
    <w:rsid w:val="0068561A"/>
    <w:rsid w:val="00691158"/>
    <w:rsid w:val="00691D7D"/>
    <w:rsid w:val="00697DFD"/>
    <w:rsid w:val="006A16DD"/>
    <w:rsid w:val="006A1A19"/>
    <w:rsid w:val="006A6BB4"/>
    <w:rsid w:val="006A6F68"/>
    <w:rsid w:val="006B574C"/>
    <w:rsid w:val="006C3244"/>
    <w:rsid w:val="006C4CE1"/>
    <w:rsid w:val="006D457B"/>
    <w:rsid w:val="00703086"/>
    <w:rsid w:val="00716E2E"/>
    <w:rsid w:val="00727F84"/>
    <w:rsid w:val="00731BE0"/>
    <w:rsid w:val="00737AC7"/>
    <w:rsid w:val="0074452D"/>
    <w:rsid w:val="00750E2D"/>
    <w:rsid w:val="00751D01"/>
    <w:rsid w:val="00786208"/>
    <w:rsid w:val="007B19F8"/>
    <w:rsid w:val="007B2BD6"/>
    <w:rsid w:val="007B30DE"/>
    <w:rsid w:val="007E0DB9"/>
    <w:rsid w:val="007E798A"/>
    <w:rsid w:val="007F1AEA"/>
    <w:rsid w:val="007F3912"/>
    <w:rsid w:val="007F5172"/>
    <w:rsid w:val="008003FF"/>
    <w:rsid w:val="00843CFA"/>
    <w:rsid w:val="00844F1A"/>
    <w:rsid w:val="00873D20"/>
    <w:rsid w:val="008A77B4"/>
    <w:rsid w:val="008B0739"/>
    <w:rsid w:val="008B3348"/>
    <w:rsid w:val="008C182C"/>
    <w:rsid w:val="008D3207"/>
    <w:rsid w:val="008D67C6"/>
    <w:rsid w:val="008D79D3"/>
    <w:rsid w:val="009152A7"/>
    <w:rsid w:val="00933A9D"/>
    <w:rsid w:val="009936D7"/>
    <w:rsid w:val="009A5B43"/>
    <w:rsid w:val="00A71944"/>
    <w:rsid w:val="00AB420F"/>
    <w:rsid w:val="00AC0956"/>
    <w:rsid w:val="00AC0C1E"/>
    <w:rsid w:val="00AC7C73"/>
    <w:rsid w:val="00AE5DFC"/>
    <w:rsid w:val="00AF7C8A"/>
    <w:rsid w:val="00B00F82"/>
    <w:rsid w:val="00B319C4"/>
    <w:rsid w:val="00B43487"/>
    <w:rsid w:val="00B83A22"/>
    <w:rsid w:val="00BE5EE6"/>
    <w:rsid w:val="00BE7977"/>
    <w:rsid w:val="00C03B2D"/>
    <w:rsid w:val="00C218F8"/>
    <w:rsid w:val="00C23CBC"/>
    <w:rsid w:val="00C333E2"/>
    <w:rsid w:val="00C373B8"/>
    <w:rsid w:val="00C43E53"/>
    <w:rsid w:val="00C57170"/>
    <w:rsid w:val="00C6712A"/>
    <w:rsid w:val="00C676B2"/>
    <w:rsid w:val="00C858CC"/>
    <w:rsid w:val="00C957AE"/>
    <w:rsid w:val="00CA222F"/>
    <w:rsid w:val="00CA39F0"/>
    <w:rsid w:val="00CB0CCE"/>
    <w:rsid w:val="00CB7D8C"/>
    <w:rsid w:val="00CC6C47"/>
    <w:rsid w:val="00CE1AB0"/>
    <w:rsid w:val="00CE32D5"/>
    <w:rsid w:val="00CF192E"/>
    <w:rsid w:val="00D07684"/>
    <w:rsid w:val="00D411AE"/>
    <w:rsid w:val="00D41418"/>
    <w:rsid w:val="00D71FD4"/>
    <w:rsid w:val="00D87070"/>
    <w:rsid w:val="00DA7E14"/>
    <w:rsid w:val="00DD39F0"/>
    <w:rsid w:val="00DD65B1"/>
    <w:rsid w:val="00DD7AB7"/>
    <w:rsid w:val="00DE2453"/>
    <w:rsid w:val="00DF622A"/>
    <w:rsid w:val="00E01D8A"/>
    <w:rsid w:val="00E11026"/>
    <w:rsid w:val="00E23003"/>
    <w:rsid w:val="00E44C30"/>
    <w:rsid w:val="00E50C09"/>
    <w:rsid w:val="00E50F73"/>
    <w:rsid w:val="00E746B5"/>
    <w:rsid w:val="00E83B9E"/>
    <w:rsid w:val="00EA08C8"/>
    <w:rsid w:val="00EA5678"/>
    <w:rsid w:val="00ED1215"/>
    <w:rsid w:val="00ED7948"/>
    <w:rsid w:val="00EE19F3"/>
    <w:rsid w:val="00EE57BB"/>
    <w:rsid w:val="00F03D19"/>
    <w:rsid w:val="00F043B3"/>
    <w:rsid w:val="00F20E08"/>
    <w:rsid w:val="00F47AAC"/>
    <w:rsid w:val="00F548B3"/>
    <w:rsid w:val="00F60729"/>
    <w:rsid w:val="00F7327A"/>
    <w:rsid w:val="00F8185F"/>
    <w:rsid w:val="00F82F44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1964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cp:lastPrinted>2024-08-28T05:52:00Z</cp:lastPrinted>
  <dcterms:created xsi:type="dcterms:W3CDTF">2025-01-16T09:53:00Z</dcterms:created>
  <dcterms:modified xsi:type="dcterms:W3CDTF">2025-01-16T09:53:00Z</dcterms:modified>
</cp:coreProperties>
</file>