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zev"/>
        <w:spacing w:lineRule="auto" w:line="276" w:before="0" w:after="0"/>
        <w:ind w:left="0" w:right="0" w:hanging="0"/>
        <w:rPr>
          <w:rFonts w:ascii="Arial" w:hAnsi="Arial" w:cs="Arial"/>
          <w:b/>
          <w:b/>
          <w:sz w:val="18"/>
          <w:szCs w:val="18"/>
          <w:shd w:fill="auto" w:val="clear"/>
        </w:rPr>
      </w:pPr>
      <w:r>
        <w:rPr>
          <w:rFonts w:cs="Arial" w:ascii="Arial" w:hAnsi="Arial"/>
          <w:b/>
          <w:sz w:val="18"/>
          <w:szCs w:val="18"/>
          <w:shd w:fill="auto" w:val="clear"/>
        </w:rPr>
        <w:t>RÁMCOVÁ SMLOUVA č. O 002/12/2024</w:t>
      </w:r>
    </w:p>
    <w:p>
      <w:pPr>
        <w:pStyle w:val="Podtitul"/>
        <w:spacing w:lineRule="auto" w:line="276" w:before="0" w:after="0"/>
        <w:ind w:left="0" w:right="0" w:hanging="0"/>
        <w:rPr>
          <w:rFonts w:cs="Arial"/>
          <w:b/>
          <w:b/>
          <w:sz w:val="18"/>
          <w:szCs w:val="18"/>
          <w:shd w:fill="auto" w:val="clear"/>
        </w:rPr>
      </w:pPr>
      <w:r>
        <w:rPr>
          <w:rFonts w:cs="Arial"/>
          <w:b/>
          <w:sz w:val="18"/>
          <w:szCs w:val="18"/>
          <w:shd w:fill="auto" w:val="clear"/>
        </w:rPr>
        <w:t>o zajištění ostrahy</w:t>
      </w:r>
    </w:p>
    <w:p>
      <w:pPr>
        <w:pStyle w:val="Podtitul"/>
        <w:spacing w:lineRule="auto" w:line="276" w:before="0" w:after="0"/>
        <w:ind w:left="0" w:right="0" w:hanging="0"/>
        <w:rPr>
          <w:rFonts w:cs="Arial"/>
          <w:b/>
          <w:b/>
          <w:sz w:val="18"/>
          <w:szCs w:val="18"/>
          <w:shd w:fill="auto" w:val="clear"/>
        </w:rPr>
      </w:pPr>
      <w:r>
        <w:rPr>
          <w:rFonts w:cs="Arial"/>
          <w:b/>
          <w:sz w:val="18"/>
          <w:szCs w:val="18"/>
          <w:shd w:fill="auto" w:val="clear"/>
        </w:rPr>
      </w:r>
    </w:p>
    <w:p>
      <w:pPr>
        <w:pStyle w:val="Podtitul"/>
        <w:spacing w:lineRule="auto" w:line="276" w:before="0" w:after="0"/>
        <w:ind w:left="0" w:right="0" w:hanging="0"/>
        <w:rPr>
          <w:rFonts w:cs="Arial"/>
          <w:sz w:val="18"/>
          <w:szCs w:val="18"/>
          <w:shd w:fill="auto" w:val="clear"/>
        </w:rPr>
      </w:pPr>
      <w:r>
        <w:rPr>
          <w:rFonts w:cs="Arial"/>
          <w:sz w:val="18"/>
          <w:szCs w:val="18"/>
          <w:shd w:fill="auto" w:val="clear"/>
        </w:rPr>
        <w:t>dohodnutá a následně uzavřená mezi Účastníky a smluvními stranami: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  <w:t>1.</w:t>
        <w:tab/>
        <w:t>Smluvní strany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left="560" w:right="0" w:hanging="560"/>
        <w:jc w:val="both"/>
        <w:rPr/>
      </w:pPr>
      <w:r>
        <w:rPr>
          <w:rFonts w:cs="Arial" w:ascii="Arial" w:hAnsi="Arial"/>
          <w:b/>
          <w:bCs/>
          <w:sz w:val="18"/>
          <w:szCs w:val="18"/>
          <w:lang w:eastAsia="hi-IN" w:bidi="hi-IN"/>
        </w:rPr>
        <w:t>Galerie Klatovy / Klenová, příspěvková organizace</w:t>
      </w:r>
      <w:r>
        <w:rPr>
          <w:rFonts w:cs="Arial" w:ascii="Arial" w:hAnsi="Arial"/>
          <w:bCs/>
          <w:sz w:val="18"/>
          <w:szCs w:val="18"/>
          <w:lang w:eastAsia="hi-IN" w:bidi="hi-IN"/>
        </w:rPr>
        <w:t xml:space="preserve"> se sídlem Klenová, č. p. 1, PSČ 340 21, 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560" w:right="0" w:hanging="0"/>
        <w:jc w:val="both"/>
        <w:rPr/>
      </w:pPr>
      <w:r>
        <w:rPr>
          <w:rFonts w:cs="Arial" w:ascii="Arial" w:hAnsi="Arial"/>
          <w:bCs/>
          <w:sz w:val="18"/>
          <w:szCs w:val="18"/>
          <w:lang w:eastAsia="hi-IN" w:bidi="hi-IN"/>
        </w:rPr>
        <w:t xml:space="preserve">IČ/DIČ: </w:t>
      </w:r>
      <w:r>
        <w:rPr>
          <w:rFonts w:cs="Arial" w:ascii="Arial" w:hAnsi="Arial"/>
          <w:b/>
          <w:bCs/>
          <w:sz w:val="18"/>
          <w:szCs w:val="18"/>
          <w:lang w:eastAsia="hi-IN" w:bidi="hi-IN"/>
        </w:rPr>
        <w:t>00177270/CZ00177270</w:t>
      </w:r>
      <w:r>
        <w:rPr>
          <w:rFonts w:cs="Arial" w:ascii="Arial" w:hAnsi="Arial"/>
          <w:bCs/>
          <w:sz w:val="18"/>
          <w:szCs w:val="18"/>
          <w:lang w:eastAsia="hi-IN" w:bidi="hi-IN"/>
        </w:rPr>
        <w:t xml:space="preserve">, registrace v obch. rejstříku Krajského soudu v Plzni, sp. zn. Pr 761 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567" w:right="0" w:hanging="0"/>
        <w:jc w:val="both"/>
        <w:rPr/>
      </w:pPr>
      <w:r>
        <w:rPr>
          <w:rFonts w:cs="Arial" w:ascii="Arial" w:hAnsi="Arial"/>
          <w:bCs/>
          <w:sz w:val="18"/>
          <w:szCs w:val="18"/>
          <w:shd w:fill="auto" w:val="clear"/>
          <w:lang w:eastAsia="hi-IN" w:bidi="hi-IN"/>
        </w:rPr>
        <w:t>na straně jedné (dále i jen jako</w:t>
      </w: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  <w:t xml:space="preserve"> “Zákazník“</w:t>
      </w:r>
      <w:r>
        <w:rPr>
          <w:rFonts w:cs="Arial" w:ascii="Arial" w:hAnsi="Arial"/>
          <w:bCs/>
          <w:sz w:val="18"/>
          <w:szCs w:val="18"/>
          <w:shd w:fill="auto" w:val="clear"/>
          <w:lang w:eastAsia="hi-IN" w:bidi="hi-IN"/>
        </w:rPr>
        <w:t>)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ab/>
      </w:r>
      <w:r>
        <w:rPr>
          <w:rFonts w:cs="Arial" w:ascii="Arial" w:hAnsi="Arial"/>
          <w:b/>
          <w:sz w:val="18"/>
          <w:szCs w:val="18"/>
          <w:shd w:fill="auto" w:val="clear"/>
          <w:lang w:eastAsia="hi-IN" w:bidi="hi-IN"/>
        </w:rPr>
        <w:t>a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bCs/>
          <w:sz w:val="18"/>
          <w:szCs w:val="18"/>
          <w:shd w:fill="auto" w:val="clear"/>
          <w:lang w:eastAsia="hi-IN" w:bidi="hi-IN"/>
        </w:rPr>
        <w:t>1.2</w:t>
      </w: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  <w:tab/>
      </w:r>
      <w:r>
        <w:rPr>
          <w:rFonts w:cs="Arial" w:ascii="Arial" w:hAnsi="Arial"/>
          <w:b/>
          <w:bCs/>
          <w:sz w:val="18"/>
          <w:szCs w:val="18"/>
          <w:shd w:fill="auto" w:val="clear"/>
        </w:rPr>
        <w:t xml:space="preserve">TUEBOR  Office Protection s.r.o. </w:t>
      </w:r>
      <w:r>
        <w:rPr>
          <w:rFonts w:cs="Arial" w:ascii="Arial" w:hAnsi="Arial"/>
          <w:sz w:val="18"/>
          <w:szCs w:val="18"/>
          <w:shd w:fill="auto" w:val="clear"/>
        </w:rPr>
        <w:t>se sídlem Plzeň, Jižní Předměstí, Černická 771/5, PSČ 301 00,</w:t>
      </w:r>
    </w:p>
    <w:p>
      <w:pPr>
        <w:pStyle w:val="Normal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sz w:val="18"/>
          <w:szCs w:val="18"/>
          <w:shd w:fill="auto" w:val="clear"/>
        </w:rPr>
        <w:tab/>
        <w:t xml:space="preserve">IČ: </w:t>
      </w:r>
      <w:r>
        <w:rPr>
          <w:rFonts w:cs="Arial" w:ascii="Arial" w:hAnsi="Arial"/>
          <w:b/>
          <w:bCs/>
          <w:sz w:val="18"/>
          <w:szCs w:val="18"/>
          <w:u w:val="none" w:color="000000"/>
          <w:shd w:fill="auto" w:val="clear"/>
          <w:lang w:val="en-US"/>
          <w14:textOutline w14:w="12700" w14:cap="flat">
            <w14:noFill/>
            <w14:miter w14:lim="400000"/>
          </w14:textOutline>
        </w:rPr>
        <w:t>21849218</w:t>
      </w:r>
      <w:r>
        <w:rPr>
          <w:rFonts w:cs="Arial" w:ascii="Arial" w:hAnsi="Arial"/>
          <w:sz w:val="18"/>
          <w:szCs w:val="18"/>
          <w:shd w:fill="auto" w:val="clear"/>
        </w:rPr>
        <w:t xml:space="preserve">, registrace v obch. rejstříku Krajského soudu v Plzni, sp. zn. C </w:t>
      </w:r>
      <w:r>
        <w:rPr>
          <w:rFonts w:cs="Arial" w:ascii="Arial" w:hAnsi="Arial"/>
          <w:sz w:val="18"/>
          <w:szCs w:val="18"/>
          <w:shd w:fill="auto" w:val="clear"/>
          <w14:textOutline w14:w="12700" w14:cap="flat">
            <w14:noFill/>
            <w14:miter w14:lim="400000"/>
          </w14:textOutline>
        </w:rPr>
        <w:t>45536</w:t>
      </w:r>
    </w:p>
    <w:p>
      <w:pPr>
        <w:pStyle w:val="Normal"/>
        <w:spacing w:lineRule="auto" w:line="276" w:before="0" w:after="0"/>
        <w:ind w:left="567" w:right="0" w:hanging="0"/>
        <w:jc w:val="both"/>
        <w:rPr/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 xml:space="preserve">na straně druhé (dále i jen jako </w:t>
      </w: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  <w:t>“TUEBOR“</w:t>
      </w:r>
      <w:r>
        <w:rPr>
          <w:rFonts w:cs="Arial" w:ascii="Arial" w:hAnsi="Arial"/>
          <w:iCs/>
          <w:sz w:val="18"/>
          <w:szCs w:val="18"/>
          <w:shd w:fill="auto" w:val="clear"/>
          <w:lang w:eastAsia="hi-IN" w:bidi="hi-IN"/>
        </w:rPr>
        <w:t xml:space="preserve">)  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  <w:t>2.</w:t>
        <w:tab/>
        <w:t xml:space="preserve">Základní závazky, právní účinky  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2.1</w:t>
        <w:tab/>
        <w:t xml:space="preserve">Zákazník a TUEBOR (jednotlivě každý z nich dále i jen jako </w:t>
      </w: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  <w:t>“Účastník“</w:t>
      </w: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, společně dále i jen jako “</w:t>
      </w: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  <w:t>Účastníci</w:t>
      </w: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 xml:space="preserve">“) se projevy své vůle na této listině (dále i jen jako </w:t>
      </w: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  <w:t>“Smlouva“</w:t>
      </w: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) zavazují zejména: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709" w:right="0" w:hanging="709"/>
        <w:jc w:val="both"/>
        <w:rPr/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2.1.1</w:t>
        <w:tab/>
        <w:t xml:space="preserve">TUEBOR strážit objekt a/nebo objekty Zákazníka sjednané v realizačním dodatku a/nebo v realizačních dodatcích ke Smlouvě (dále i jen jako </w:t>
      </w:r>
      <w:r>
        <w:rPr>
          <w:rFonts w:cs="Arial" w:ascii="Arial" w:hAnsi="Arial"/>
          <w:b/>
          <w:sz w:val="18"/>
          <w:szCs w:val="18"/>
          <w:shd w:fill="auto" w:val="clear"/>
          <w:lang w:eastAsia="hi-IN" w:bidi="hi-IN"/>
        </w:rPr>
        <w:t>“Objekt“</w:t>
      </w: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 xml:space="preserve">) připojením </w:t>
      </w:r>
      <w:r>
        <w:rPr>
          <w:rFonts w:cs="Arial" w:ascii="Arial" w:hAnsi="Arial"/>
          <w:color w:val="000000"/>
          <w:sz w:val="18"/>
          <w:szCs w:val="18"/>
          <w:shd w:fill="auto" w:val="clear"/>
        </w:rPr>
        <w:t xml:space="preserve">poplachového zabezpečovacího a tísňového systému Zákazníka (dále i jen jako </w:t>
      </w:r>
      <w:r>
        <w:rPr>
          <w:rFonts w:cs="Arial" w:ascii="Arial" w:hAnsi="Arial"/>
          <w:b/>
          <w:color w:val="000000"/>
          <w:sz w:val="18"/>
          <w:szCs w:val="18"/>
          <w:shd w:fill="auto" w:val="clear"/>
        </w:rPr>
        <w:t>“PZTS“</w:t>
      </w:r>
      <w:r>
        <w:rPr>
          <w:rFonts w:cs="Arial" w:ascii="Arial" w:hAnsi="Arial"/>
          <w:color w:val="000000"/>
          <w:sz w:val="18"/>
          <w:szCs w:val="18"/>
          <w:shd w:fill="auto" w:val="clear"/>
        </w:rPr>
        <w:t xml:space="preserve">) nebo </w:t>
      </w:r>
      <w:r>
        <w:rPr>
          <w:rFonts w:cs="Arial" w:ascii="Arial" w:hAnsi="Arial"/>
          <w:sz w:val="18"/>
          <w:szCs w:val="18"/>
          <w:shd w:fill="auto" w:val="clear"/>
        </w:rPr>
        <w:t>elektronické požární signalizace Zákazníka (dále i jen jako</w:t>
      </w:r>
      <w:r>
        <w:rPr>
          <w:rFonts w:cs="Arial" w:ascii="Arial" w:hAnsi="Arial"/>
          <w:b/>
          <w:sz w:val="18"/>
          <w:szCs w:val="18"/>
          <w:shd w:fill="auto" w:val="clear"/>
        </w:rPr>
        <w:t xml:space="preserve"> “EPS“</w:t>
      </w:r>
      <w:r>
        <w:rPr>
          <w:rFonts w:cs="Arial" w:ascii="Arial" w:hAnsi="Arial"/>
          <w:sz w:val="18"/>
          <w:szCs w:val="18"/>
          <w:shd w:fill="auto" w:val="clear"/>
        </w:rPr>
        <w:t xml:space="preserve">) </w:t>
      </w:r>
      <w:r>
        <w:rPr>
          <w:rFonts w:cs="Arial" w:ascii="Arial" w:hAnsi="Arial"/>
          <w:color w:val="000000"/>
          <w:sz w:val="18"/>
          <w:szCs w:val="18"/>
          <w:shd w:fill="auto" w:val="clear"/>
        </w:rPr>
        <w:t xml:space="preserve">k poplachovému přijímacímu centru / pultu centralizované ochrany TUEBOR (dále i jen jako </w:t>
      </w:r>
      <w:r>
        <w:rPr>
          <w:rFonts w:cs="Arial" w:ascii="Arial" w:hAnsi="Arial"/>
          <w:b/>
          <w:color w:val="000000"/>
          <w:sz w:val="18"/>
          <w:szCs w:val="18"/>
          <w:shd w:fill="auto" w:val="clear"/>
        </w:rPr>
        <w:t>“ PCO“</w:t>
      </w:r>
      <w:r>
        <w:rPr>
          <w:rFonts w:cs="Arial" w:ascii="Arial" w:hAnsi="Arial"/>
          <w:color w:val="000000"/>
          <w:sz w:val="18"/>
          <w:szCs w:val="18"/>
          <w:shd w:fill="auto" w:val="clear"/>
        </w:rPr>
        <w:t>)</w:t>
      </w: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 xml:space="preserve">; </w:t>
      </w:r>
    </w:p>
    <w:p>
      <w:pPr>
        <w:pStyle w:val="Normal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2.1.2</w:t>
        <w:tab/>
        <w:t>Zákazník platit za ostrahu Objektu dohodnutou cenu.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2.2</w:t>
        <w:tab/>
        <w:t xml:space="preserve">Právní účinky Smlouvy vznikají a závazky Smlouvou založené Účastníci nabývají okamžikem jejího uzavření, není-li ve Smlouvě sjednáno jinak.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/>
          <w:b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b/>
          <w:sz w:val="18"/>
          <w:szCs w:val="18"/>
          <w:shd w:fill="auto" w:val="clear"/>
          <w:lang w:eastAsia="hi-IN" w:bidi="hi-IN"/>
        </w:rPr>
        <w:t>3.</w:t>
        <w:tab/>
        <w:t>Výkon ostrahy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3.1</w:t>
        <w:tab/>
        <w:t xml:space="preserve">Účastníci se zavazují uzavřít mezi sebou za účelem konkrétních podmínek výkonu ostrahy TUEBOR realizační dodatek nebo i více realizačních dodatků upravující/upravujících zejména identifikaci Objektu, cenu ostrahy, popř. další podmínky a/nebo předpoklady výkonu ostrahy (dále i jen jako </w:t>
      </w:r>
      <w:r>
        <w:rPr>
          <w:rFonts w:cs="Arial" w:ascii="Arial" w:hAnsi="Arial"/>
          <w:b/>
          <w:sz w:val="18"/>
          <w:szCs w:val="18"/>
          <w:shd w:fill="auto" w:val="clear"/>
          <w:lang w:eastAsia="hi-IN" w:bidi="hi-IN"/>
        </w:rPr>
        <w:t>“Realizační dodatek“</w:t>
      </w: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 xml:space="preserve">); </w:t>
      </w:r>
      <w:r>
        <w:rPr>
          <w:rFonts w:cs="Arial" w:ascii="Arial" w:hAnsi="Arial"/>
          <w:bCs/>
          <w:sz w:val="18"/>
          <w:szCs w:val="18"/>
          <w:shd w:fill="auto" w:val="clear"/>
          <w:lang w:eastAsia="hi-IN" w:bidi="hi-IN"/>
        </w:rPr>
        <w:t xml:space="preserve">smluvní normy ve Smlouvě sjednané stávají se okamžikem účinnosti </w:t>
      </w: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Realizačního dodatku</w:t>
      </w:r>
      <w:r>
        <w:rPr>
          <w:rFonts w:cs="Arial" w:ascii="Arial" w:hAnsi="Arial"/>
          <w:bCs/>
          <w:sz w:val="18"/>
          <w:szCs w:val="18"/>
          <w:shd w:fill="auto" w:val="clear"/>
          <w:lang w:eastAsia="hi-IN" w:bidi="hi-IN"/>
        </w:rPr>
        <w:t xml:space="preserve"> součástí jeho obsahu, nekonkurují-li smluvním normám </w:t>
      </w: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Realizačního dodatku</w:t>
      </w:r>
      <w:r>
        <w:rPr>
          <w:rFonts w:cs="Arial" w:ascii="Arial" w:hAnsi="Arial"/>
          <w:bCs/>
          <w:sz w:val="18"/>
          <w:szCs w:val="18"/>
          <w:shd w:fill="auto" w:val="clear"/>
          <w:lang w:eastAsia="hi-IN" w:bidi="hi-IN"/>
        </w:rPr>
        <w:t>, které mají přednost.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3.2</w:t>
        <w:tab/>
        <w:t>TUEBOR se zavazuje strážit Objekt vždy v rozsahu sjednaném v Realizačním dodatku a způsobem sjednaným ve Smlouvě a Realizačním dodatku; Zákazník bere na vědomí, že k PCO může být připojen pouze PZTS, popř. EPS, jejichž instalace a provoz odpovídají technickým požadavkům ČSN EN 50131-1 (334590) a u kterých je zajištěn technický servis.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3.3</w:t>
        <w:tab/>
        <w:t>TUEBOR se zavazuje výkon ostrahy Objektu provádět na základě signálů PZTS nebo EPS; technický signál PZTS nebo EPS se TUEBOR zavazuje vždy bez zbytečného odkladu u Zákazníka prověřit, v případě poplachového signálu PZTS nebo EPS se TUEBOR zavazuje:</w:t>
      </w:r>
    </w:p>
    <w:p>
      <w:pPr>
        <w:pStyle w:val="Podtitul"/>
        <w:spacing w:lineRule="auto" w:line="276" w:before="0" w:after="0"/>
        <w:ind w:left="567" w:right="0" w:hanging="567"/>
        <w:jc w:val="both"/>
        <w:rPr>
          <w:rFonts w:ascii="Arial" w:hAnsi="Arial" w:cs="Arial"/>
          <w:color w:val="000000"/>
          <w:sz w:val="18"/>
          <w:szCs w:val="18"/>
          <w:shd w:fill="auto" w:val="clear"/>
        </w:rPr>
      </w:pPr>
      <w:r>
        <w:rPr>
          <w:rFonts w:cs="Arial"/>
          <w:color w:val="000000"/>
          <w:sz w:val="18"/>
          <w:szCs w:val="18"/>
          <w:shd w:fill="auto" w:val="clear"/>
        </w:rPr>
      </w:r>
    </w:p>
    <w:p>
      <w:pPr>
        <w:pStyle w:val="ListParagraph"/>
        <w:widowControl w:val="false"/>
        <w:numPr>
          <w:ilvl w:val="2"/>
          <w:numId w:val="3"/>
        </w:numPr>
        <w:spacing w:lineRule="auto" w:line="276" w:before="0" w:after="0"/>
        <w:ind w:left="720" w:right="0" w:hanging="720"/>
        <w:jc w:val="both"/>
        <w:rPr/>
      </w:pPr>
      <w:r>
        <w:rPr>
          <w:rFonts w:cs="Arial" w:ascii="Arial" w:hAnsi="Arial"/>
          <w:sz w:val="18"/>
          <w:szCs w:val="18"/>
          <w:shd w:fill="auto" w:val="clear"/>
        </w:rPr>
        <w:t xml:space="preserve">zajistit okamžitý výjezd zásahové jednotky TUEBOR (dále i jen jako </w:t>
      </w:r>
      <w:r>
        <w:rPr>
          <w:rFonts w:cs="Arial" w:ascii="Arial" w:hAnsi="Arial"/>
          <w:b/>
          <w:sz w:val="18"/>
          <w:szCs w:val="18"/>
          <w:shd w:fill="auto" w:val="clear"/>
        </w:rPr>
        <w:t>“hlídka“</w:t>
      </w:r>
      <w:r>
        <w:rPr>
          <w:rFonts w:cs="Arial" w:ascii="Arial" w:hAnsi="Arial"/>
          <w:sz w:val="18"/>
          <w:szCs w:val="18"/>
          <w:shd w:fill="auto" w:val="clear"/>
        </w:rPr>
        <w:t>) k narušenému Objektu s cílem odvrátit nebezpečí a zabránit škodám;</w:t>
      </w:r>
    </w:p>
    <w:p>
      <w:pPr>
        <w:pStyle w:val="ListParagraph"/>
        <w:widowControl w:val="false"/>
        <w:numPr>
          <w:ilvl w:val="2"/>
          <w:numId w:val="3"/>
        </w:numPr>
        <w:spacing w:lineRule="auto" w:line="276" w:before="0" w:after="0"/>
        <w:ind w:left="720" w:right="0" w:hanging="72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provést kontrolu objektu a v případě zjištění stavu/okolností vyžadujících další postup vykonat opatření nezbytná k zajištění bezpečnosti Objektu, zejména vnější střežení objektu do příjezdu policejních orgánů a obnovení činnosti PZTS, nevydá-li Zákazník jiný pokyn;</w:t>
      </w:r>
    </w:p>
    <w:p>
      <w:pPr>
        <w:pStyle w:val="ListParagraph"/>
        <w:widowControl w:val="false"/>
        <w:numPr>
          <w:ilvl w:val="2"/>
          <w:numId w:val="3"/>
        </w:numPr>
        <w:spacing w:lineRule="auto" w:line="276" w:before="0" w:after="0"/>
        <w:ind w:left="720" w:right="0" w:hanging="72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zjištěné narušení Objektu okamžitě oznámit příslušným orgánům, nemůže-li vlastními silami zabránit škodě nebo je podezření, že narušením Objektu byl spáchán trestný čin anebo přestupek;</w:t>
      </w:r>
    </w:p>
    <w:p>
      <w:pPr>
        <w:pStyle w:val="ListParagraph"/>
        <w:widowControl w:val="false"/>
        <w:numPr>
          <w:ilvl w:val="2"/>
          <w:numId w:val="3"/>
        </w:numPr>
        <w:spacing w:lineRule="auto" w:line="276" w:before="0" w:after="0"/>
        <w:ind w:left="720" w:right="0" w:hanging="72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zjištěné narušení Objektu v důsledku signálu EPS bez zbytečného odkladu oznámit orgánům příslušným k zákroku;</w:t>
      </w:r>
    </w:p>
    <w:p>
      <w:pPr>
        <w:pStyle w:val="ListParagraph"/>
        <w:widowControl w:val="false"/>
        <w:numPr>
          <w:ilvl w:val="2"/>
          <w:numId w:val="3"/>
        </w:numPr>
        <w:spacing w:lineRule="auto" w:line="276" w:before="0" w:after="0"/>
        <w:ind w:left="720" w:right="0" w:hanging="72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vyrozumět Zákazníka nebo jím pověřenou osobu.</w:t>
      </w:r>
    </w:p>
    <w:p>
      <w:pPr>
        <w:pStyle w:val="ListParagraph"/>
        <w:widowControl w:val="false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3.4</w:t>
        <w:tab/>
        <w:t xml:space="preserve">Účastníci sjednávají, že pokud plnění TUEBOR v této Smlouvě a Realizačním dodatku sjednané bylo zahájeno na základě ústní dohody už před jejich uzavřením, je tato skutečnost výslovně uvedena v Realizačním dodatku a veškerá práva a povinnosti smluvních stran za období od zahájení plnění do uzavření této Smlouvy řídí se touto Smlouvou.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/>
          <w:b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b/>
          <w:sz w:val="18"/>
          <w:szCs w:val="18"/>
          <w:shd w:fill="auto" w:val="clear"/>
          <w:lang w:eastAsia="hi-IN" w:bidi="hi-IN"/>
        </w:rPr>
        <w:t>4.</w:t>
        <w:tab/>
        <w:t>Odpovědnost TUEBOR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sz w:val="18"/>
          <w:szCs w:val="18"/>
          <w:shd w:fill="auto" w:val="clear"/>
        </w:rPr>
        <w:t>4.1</w:t>
        <w:tab/>
        <w:t xml:space="preserve">TUEBOR odpovídá Zákazníkovi za škodu na jmění, vznikne-li Zákazníkovi v důsledku porušení smluvních povinností; povinnosti k náhradě se TUEBOR zprostí, prokáže-li, že mu ve splnění smluvních povinností dočasně nebo trvale zabránila mimořádná nepředvídatelná a nepřekonatelná překážka vzniklá nezávisle na jeho vůli; </w:t>
      </w: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 xml:space="preserve">Zákazník si je vědom možného omezení v kvalitě, dostupnosti a rozsahu zabíraného obrazu v čase video verifikace / virtuální patroly.  </w:t>
      </w:r>
    </w:p>
    <w:p>
      <w:pPr>
        <w:pStyle w:val="ListParagraph"/>
        <w:numPr>
          <w:ilvl w:val="1"/>
          <w:numId w:val="4"/>
        </w:numPr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 xml:space="preserve">Porušením smluvních povinností podle dohody Účastníků není,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ListParagraph"/>
        <w:numPr>
          <w:ilvl w:val="2"/>
          <w:numId w:val="4"/>
        </w:numPr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nedopadne-li hlídka přes veškeré úsilí, které lze na ní spravedlivě požadovat, narušitele Objektu;</w:t>
      </w:r>
    </w:p>
    <w:p>
      <w:pPr>
        <w:pStyle w:val="ListParagraph"/>
        <w:numPr>
          <w:ilvl w:val="2"/>
          <w:numId w:val="4"/>
        </w:numPr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nezabrání-li hlídka přes veškeré úsilí, které lze na ní spravedlivě požadovat, vzniku požáru;</w:t>
      </w:r>
    </w:p>
    <w:p>
      <w:pPr>
        <w:pStyle w:val="ListParagraph"/>
        <w:numPr>
          <w:ilvl w:val="2"/>
          <w:numId w:val="4"/>
        </w:numPr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 xml:space="preserve">nezabrání-li hlídka přes veškeré úsilí, které lze na ní spravedlivě požadovat, vzniku škody na jmění Zákazníka; </w:t>
      </w:r>
    </w:p>
    <w:p>
      <w:pPr>
        <w:pStyle w:val="ListParagraph"/>
        <w:numPr>
          <w:ilvl w:val="2"/>
          <w:numId w:val="4"/>
        </w:numPr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nedodrží-li hlídka obvyklý nebo stanovený čas pro dojezd z důvodu vyšší moci nebo důvodů, které nemůže hlídka nebo TUEBOR ovlivnit.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ListParagraph"/>
        <w:widowControl w:val="false"/>
        <w:numPr>
          <w:ilvl w:val="1"/>
          <w:numId w:val="4"/>
        </w:numPr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 xml:space="preserve">TUEBOR Zákazníkovi prohlašuje, že plní vůči ČTÚ oznamovací povinnosti o provozu využívaných radiokomunikačních zařízení vyplývající ze zákona a je zavázán odvádět příslušné poplatky.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ListParagraph"/>
        <w:widowControl w:val="false"/>
        <w:numPr>
          <w:ilvl w:val="0"/>
          <w:numId w:val="5"/>
        </w:numPr>
        <w:spacing w:lineRule="auto" w:line="276" w:before="0" w:after="0"/>
        <w:ind w:left="567" w:right="0" w:hanging="567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</w:rPr>
        <w:t>Součinnost zákazníka</w:t>
      </w:r>
    </w:p>
    <w:p>
      <w:pPr>
        <w:pStyle w:val="Normal"/>
        <w:widowControl w:val="false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ListParagraph"/>
        <w:widowControl w:val="false"/>
        <w:numPr>
          <w:ilvl w:val="1"/>
          <w:numId w:val="6"/>
        </w:numPr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Zákazník se zavazuje nejpozději 24 hodin předem oznámit TUEBOR veškeré změny, které mohou mít vliv na plnění závazků TUEBOR, zejména pak stavební a jiné úpravy Objektu, které by mohly ovlivnit technickou funkci propojených systémů PZTS a PCO, jakoukoliv manipulaci s PZTS nad rámec běžné obsluhy, budování další PZTS v Objektu nebo každou i dočasnou změnu uživatele nebo způsobu využívání Objektu a dále informovat TUEBOR bez zbytečného odkladu o všech zjištěných skutečnostech, které mohou ovlivnit řádné plnění závazku TUEBOR.</w:t>
      </w:r>
    </w:p>
    <w:p>
      <w:pPr>
        <w:pStyle w:val="Normal"/>
        <w:widowControl w:val="false"/>
        <w:spacing w:lineRule="auto" w:line="276" w:before="0" w:after="0"/>
        <w:ind w:left="567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ListParagraph"/>
        <w:widowControl w:val="false"/>
        <w:numPr>
          <w:ilvl w:val="1"/>
          <w:numId w:val="6"/>
        </w:numPr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Zákazník se zavazuje:</w:t>
      </w:r>
    </w:p>
    <w:p>
      <w:pPr>
        <w:pStyle w:val="Normal"/>
        <w:widowControl w:val="false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Normal"/>
        <w:widowControl w:val="false"/>
        <w:numPr>
          <w:ilvl w:val="2"/>
          <w:numId w:val="6"/>
        </w:numPr>
        <w:spacing w:lineRule="auto" w:line="276" w:before="0" w:after="0"/>
        <w:ind w:left="720" w:right="0" w:hanging="72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při přenosu signálu z PZTS na PCO radiovým vysílačem nebo jiným placeným způsobem přenosu dat (GSM, GPRS) platit cenu za vstup do radiové sítě nebo cenu přenosu dat podle podmínek sjednaných v připojeném Realizačním dodatku;</w:t>
      </w:r>
    </w:p>
    <w:p>
      <w:pPr>
        <w:pStyle w:val="Normal"/>
        <w:widowControl w:val="false"/>
        <w:numPr>
          <w:ilvl w:val="2"/>
          <w:numId w:val="6"/>
        </w:numPr>
        <w:spacing w:lineRule="auto" w:line="276" w:before="0" w:after="0"/>
        <w:ind w:left="720" w:right="0" w:hanging="72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nemařit úsilí TUEBOR v poskytování služby poplachovými signály v důsledku technického stavu PZTS nebo chyb v jeho obsluze;</w:t>
      </w:r>
    </w:p>
    <w:p>
      <w:pPr>
        <w:pStyle w:val="Normal"/>
        <w:widowControl w:val="false"/>
        <w:numPr>
          <w:ilvl w:val="2"/>
          <w:numId w:val="6"/>
        </w:numPr>
        <w:spacing w:lineRule="auto" w:line="276" w:before="0" w:after="0"/>
        <w:ind w:left="720" w:right="0" w:hanging="72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zajistit k datu ukončení účinnosti Realizačního dodatku prostřednictvím svého dodavatele servisu PZTS odpojení komunikátoru od rozhraní s VTS, od sítě GSM/GPRS (vytáčené spojení, datový přenos, SMS), resp. od sítě WAN; úkon je zpoplatněn podle aktuálního ceníku dodavatele;</w:t>
      </w:r>
    </w:p>
    <w:p>
      <w:pPr>
        <w:pStyle w:val="Normal"/>
        <w:widowControl w:val="false"/>
        <w:numPr>
          <w:ilvl w:val="2"/>
          <w:numId w:val="6"/>
        </w:numPr>
        <w:spacing w:lineRule="auto" w:line="276" w:before="0" w:after="0"/>
        <w:ind w:left="720" w:right="0" w:hanging="72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umožnit pracovníkům TUEBOR demontáž radiového vysílače neprodleně po skončení účinnosti Realizačního dodatku, úkon je zpoplatněn podle aktuálního ceníku TUEBOR; porušení závazku zakládá nárok TUEBOR na náhradu škody ve výši sankcí uložených TUEBOR ze strany ČTÚ.</w:t>
      </w:r>
    </w:p>
    <w:p>
      <w:pPr>
        <w:pStyle w:val="Normal"/>
        <w:widowControl w:val="false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Normal"/>
        <w:widowControl w:val="false"/>
        <w:numPr>
          <w:ilvl w:val="1"/>
          <w:numId w:val="6"/>
        </w:numPr>
        <w:spacing w:lineRule="auto" w:line="276" w:before="0" w:after="0"/>
        <w:ind w:left="360" w:right="0" w:hanging="36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Zákazník se zavazuje údaje v realizačním dodatku po každé změně údajů bez zbytečného odkladu a prodlení, resp. po výroční periodické výzvě TUEBOR, aktualizovat způsobem sjednaným v 8.2.4 nebo přes webové rozhraní.</w:t>
      </w:r>
    </w:p>
    <w:p>
      <w:pPr>
        <w:pStyle w:val="Normal"/>
        <w:widowControl w:val="false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widowControl w:val="false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5.4</w:t>
        <w:tab/>
        <w:t>Zákazník se zavazuje:</w:t>
      </w:r>
    </w:p>
    <w:p>
      <w:pPr>
        <w:pStyle w:val="ListParagraph"/>
        <w:widowControl w:val="false"/>
        <w:spacing w:lineRule="auto" w:line="276" w:before="0" w:after="0"/>
        <w:ind w:left="360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Normal"/>
        <w:widowControl w:val="false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5.4.1</w:t>
        <w:tab/>
        <w:t xml:space="preserve">poskytnout TUEBOR před zahájením ostrahy Objektu bezplatně nezbytné doklady, informace, plány nebo náčrty nezbytné k řádnému plnění závazku TUEBOR; </w:t>
      </w:r>
    </w:p>
    <w:p>
      <w:pPr>
        <w:pStyle w:val="Normal"/>
        <w:widowControl w:val="false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5.4.2</w:t>
        <w:tab/>
        <w:t>seznámit TUEBOR se systémem protipožární ochrany Objektu, jakož i s předpisy o bezpečnosti a ochraně zdraví při práci na pracovištích v Objektu;</w:t>
      </w:r>
    </w:p>
    <w:p>
      <w:pPr>
        <w:pStyle w:val="Normal"/>
        <w:widowControl w:val="false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5.4.3</w:t>
        <w:tab/>
        <w:t>předat TUEBOR veškeré klíče, ovladače a identifikátory potřebné k řádnému plnění závazku TUEBOR, vždy však pouze v rozsahu, druhu nebo počtu zcela nezbytném k výkonu sjednané ostrahy; limit náhrady škody vzniklé v souvislosti se ztrátou nebo poškozením předaných klíčů nebo ovladačů nebo identifikátorů sjednává se nejvýše 5.000,- CZK pro jednu každou škodní událost;</w:t>
      </w:r>
    </w:p>
    <w:p>
      <w:pPr>
        <w:pStyle w:val="Normal"/>
        <w:widowControl w:val="false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5.4.4</w:t>
        <w:tab/>
        <w:t>zodpovědně posoudit doporučení TUEBOR ke zlepšení ostrahy Objektu a projednat s TUEBOR případné změny s ohledem na funkci a režim zabezpečení;</w:t>
      </w:r>
    </w:p>
    <w:p>
      <w:pPr>
        <w:pStyle w:val="Normal"/>
        <w:widowControl w:val="false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5.4.5</w:t>
        <w:tab/>
        <w:t>umožnit viditelné označení o střežení Objektu.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Import7"/>
        <w:spacing w:lineRule="auto" w:line="276"/>
        <w:ind w:left="567" w:right="0" w:hanging="567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</w:rPr>
        <w:t>6.</w:t>
        <w:tab/>
        <w:t>Odměna, platební podmínky, daň z přidané hodnoty</w:t>
      </w:r>
    </w:p>
    <w:p>
      <w:pPr>
        <w:pStyle w:val="Import7"/>
        <w:spacing w:lineRule="auto" w:line="276"/>
        <w:ind w:left="567" w:right="0" w:hanging="567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</w:rPr>
      </w:r>
    </w:p>
    <w:p>
      <w:pPr>
        <w:pStyle w:val="Import7"/>
        <w:numPr>
          <w:ilvl w:val="1"/>
          <w:numId w:val="7"/>
        </w:numPr>
        <w:tabs>
          <w:tab w:val="left" w:pos="528" w:leader="none"/>
          <w:tab w:val="left" w:pos="7344" w:leader="none"/>
        </w:tabs>
        <w:spacing w:lineRule="auto" w:line="276"/>
        <w:ind w:left="567" w:right="0" w:hanging="567"/>
        <w:jc w:val="both"/>
        <w:rPr/>
      </w:pPr>
      <w:r>
        <w:rPr>
          <w:rFonts w:cs="Arial" w:ascii="Arial" w:hAnsi="Arial"/>
          <w:sz w:val="18"/>
          <w:szCs w:val="18"/>
          <w:shd w:fill="auto" w:val="clear"/>
        </w:rPr>
        <w:t xml:space="preserve">Zákazník se zavazuje platit TUEBOR v kalendářním roce uzavření Smlouvy za ostrahu Objektu každý měsíc odměnu sjednanou v Realizačním dodatku; v dalších letech trvání Smlouvy měsíční odměnu ve výši stanovené jako součin měsíční odměny předcházejícího kalendářního roku a míry inflace za předcházející kalendářní rok (dále i jen jako </w:t>
      </w:r>
      <w:r>
        <w:rPr>
          <w:rFonts w:cs="Arial" w:ascii="Arial" w:hAnsi="Arial"/>
          <w:b/>
          <w:sz w:val="18"/>
          <w:szCs w:val="18"/>
          <w:shd w:fill="auto" w:val="clear"/>
        </w:rPr>
        <w:t>“Inflace“</w:t>
      </w:r>
      <w:r>
        <w:rPr>
          <w:rFonts w:cs="Arial" w:ascii="Arial" w:hAnsi="Arial"/>
          <w:sz w:val="18"/>
          <w:szCs w:val="18"/>
          <w:shd w:fill="auto" w:val="clear"/>
        </w:rPr>
        <w:t>).</w:t>
      </w:r>
    </w:p>
    <w:p>
      <w:pPr>
        <w:pStyle w:val="Import7"/>
        <w:tabs>
          <w:tab w:val="clear" w:pos="7344"/>
        </w:tabs>
        <w:spacing w:lineRule="auto" w:line="276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6.2</w:t>
        <w:tab/>
        <w:t>Účastníci sjednávají, že:</w:t>
      </w:r>
    </w:p>
    <w:p>
      <w:pPr>
        <w:pStyle w:val="Import7"/>
        <w:spacing w:lineRule="auto" w:line="276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Import7"/>
        <w:spacing w:lineRule="auto" w:line="276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6.2.1</w:t>
        <w:tab/>
        <w:t>mírou inflace rozumí se pro účely Smlouvy míra inflace zákonného platidla České republiky vyjádřená přírůstkem průměrného ročního indexu spotřebitelských cen a zveřejněná či vyhlášená Českým statistickým úřadem, popř. jeho nástupcem ve výkonu této působnosti Českého statistického úřadu;</w:t>
      </w:r>
    </w:p>
    <w:p>
      <w:pPr>
        <w:pStyle w:val="Import7"/>
        <w:spacing w:lineRule="auto" w:line="276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6.2.2</w:t>
        <w:tab/>
        <w:t>nevyužije-li TUEBOR možnost úpravy odměny o Inflaci každoročně, je oprávněn sjednaným postupem odměnu upravit o Inflaci nejvýše za 3 (slovy: Tři) předcházející kalendářní roky;</w:t>
      </w:r>
    </w:p>
    <w:p>
      <w:pPr>
        <w:pStyle w:val="Import7"/>
        <w:spacing w:lineRule="auto" w:line="276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6.2.3</w:t>
        <w:tab/>
        <w:t>uzavřeli-li Smlouvu ve druhém pololetí kalendářního roku, není TUEBOR pro rok následující po uzavření Smlouvy oprávněn možnost úpravy odměny o Inflaci využít;</w:t>
      </w:r>
    </w:p>
    <w:p>
      <w:pPr>
        <w:pStyle w:val="Import7"/>
        <w:spacing w:lineRule="auto" w:line="276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6.2.4</w:t>
        <w:tab/>
        <w:t>Zákazník je zavázán platit TUEBOR měsíční odměnu za ostrahu Objektu vždy ode dne účinnosti Realizačního dodatku;</w:t>
      </w:r>
    </w:p>
    <w:p>
      <w:pPr>
        <w:pStyle w:val="Import7"/>
        <w:spacing w:lineRule="auto" w:line="276"/>
        <w:ind w:left="709" w:right="0" w:hanging="709"/>
        <w:jc w:val="both"/>
        <w:rPr/>
      </w:pPr>
      <w:r>
        <w:rPr>
          <w:rFonts w:cs="Arial" w:ascii="Arial" w:hAnsi="Arial"/>
          <w:sz w:val="18"/>
          <w:szCs w:val="18"/>
          <w:shd w:fill="auto" w:val="clear"/>
        </w:rPr>
        <w:t>6.2.5</w:t>
        <w:tab/>
      </w:r>
      <w:r>
        <w:rPr>
          <w:rFonts w:cs="Arial" w:ascii="Arial" w:hAnsi="Arial"/>
          <w:bCs/>
          <w:sz w:val="18"/>
          <w:szCs w:val="18"/>
          <w:shd w:fill="auto" w:val="clear"/>
        </w:rPr>
        <w:t>veškerých práv z hrubého nepoměru vzájemných plnění se vzájemně vzdávají.</w:t>
      </w:r>
    </w:p>
    <w:p>
      <w:pPr>
        <w:pStyle w:val="Import7"/>
        <w:spacing w:lineRule="auto" w:line="276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Normal"/>
        <w:widowControl w:val="false"/>
        <w:spacing w:lineRule="auto" w:line="276" w:before="0" w:after="0"/>
        <w:ind w:left="567" w:right="0" w:hanging="567"/>
        <w:jc w:val="both"/>
        <w:rPr/>
      </w:pPr>
      <w:r>
        <w:rPr>
          <w:rFonts w:eastAsia="Calibri" w:cs="Arial" w:ascii="Arial" w:hAnsi="Arial"/>
          <w:sz w:val="18"/>
          <w:szCs w:val="18"/>
          <w:shd w:fill="auto" w:val="clear"/>
        </w:rPr>
        <w:t>6.3</w:t>
        <w:tab/>
        <w:t xml:space="preserve">Zákazník se zavazuje měsíční odměnu za ostrahu Objektu TUEBOR platit vždy na základě faktury/daňového dokladu TUEBOR (dále i jen jako </w:t>
      </w:r>
      <w:r>
        <w:rPr>
          <w:rFonts w:eastAsia="Calibri" w:cs="Arial" w:ascii="Arial" w:hAnsi="Arial"/>
          <w:b/>
          <w:sz w:val="18"/>
          <w:szCs w:val="18"/>
          <w:shd w:fill="auto" w:val="clear"/>
        </w:rPr>
        <w:t>“Faktura“</w:t>
      </w:r>
      <w:r>
        <w:rPr>
          <w:rFonts w:eastAsia="Calibri" w:cs="Arial" w:ascii="Arial" w:hAnsi="Arial"/>
          <w:sz w:val="18"/>
          <w:szCs w:val="18"/>
          <w:shd w:fill="auto" w:val="clear"/>
        </w:rPr>
        <w:t>) na bankovní účet ve Faktuře označený; Fakturu na zaplacení měsíční odměny je TUEBOR oprávněn vystavit vždy nejdříve 16. (slovy: Šestnáctého) dne příslušného měsíce.</w:t>
      </w:r>
    </w:p>
    <w:p>
      <w:pPr>
        <w:pStyle w:val="Normal"/>
        <w:widowControl w:val="false"/>
        <w:spacing w:lineRule="auto" w:line="276" w:before="0" w:after="0"/>
        <w:ind w:left="567" w:right="0" w:hanging="567"/>
        <w:jc w:val="both"/>
        <w:rPr>
          <w:rFonts w:ascii="Arial" w:hAnsi="Arial" w:eastAsia="Calibri" w:cs="Arial"/>
          <w:sz w:val="18"/>
          <w:szCs w:val="18"/>
          <w:shd w:fill="auto" w:val="clear"/>
        </w:rPr>
      </w:pPr>
      <w:r>
        <w:rPr>
          <w:rFonts w:eastAsia="Calibri" w:cs="Arial" w:ascii="Arial" w:hAnsi="Arial"/>
          <w:sz w:val="18"/>
          <w:szCs w:val="18"/>
          <w:shd w:fill="auto" w:val="clear"/>
        </w:rPr>
      </w:r>
    </w:p>
    <w:p>
      <w:pPr>
        <w:pStyle w:val="Normal"/>
        <w:widowControl w:val="false"/>
        <w:spacing w:lineRule="auto" w:line="276" w:before="0" w:after="0"/>
        <w:ind w:left="567" w:right="0" w:hanging="567"/>
        <w:jc w:val="both"/>
        <w:rPr/>
      </w:pPr>
      <w:r>
        <w:rPr>
          <w:rFonts w:eastAsia="Calibri" w:cs="Arial" w:ascii="Arial" w:hAnsi="Arial"/>
          <w:sz w:val="18"/>
          <w:szCs w:val="18"/>
          <w:shd w:fill="auto" w:val="clear"/>
        </w:rPr>
        <w:t>6.4</w:t>
        <w:tab/>
        <w:t>Splatnost každé Faktury sjednávají Účastníci v délce trvání 14</w:t>
      </w:r>
      <w:r>
        <w:rPr>
          <w:rFonts w:cs="Arial" w:ascii="Arial" w:hAnsi="Arial"/>
          <w:sz w:val="18"/>
          <w:szCs w:val="18"/>
          <w:shd w:fill="auto" w:val="clear"/>
        </w:rPr>
        <w:t xml:space="preserve"> (slovy: Čtrnáct) dnů.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sz w:val="18"/>
          <w:szCs w:val="18"/>
          <w:shd w:fill="auto" w:val="clear"/>
        </w:rPr>
        <w:t>6.5</w:t>
        <w:tab/>
        <w:t xml:space="preserve">Každý z Účastníků je oprávněn, nikoliv však povinen, žádat náhradu škody vzniklou nesplněním peněžitého dluhu i tehdy, je-li kryta úroky z  prodlení, a to i ve výši úrok z prodlení přesahující. </w:t>
      </w:r>
    </w:p>
    <w:p>
      <w:pPr>
        <w:pStyle w:val="Normal"/>
        <w:widowControl w:val="false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  <w:t>7.</w:t>
        <w:tab/>
        <w:t>Doba trvání a zrušení Smlouvy, přerušení plnění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7.1</w:t>
        <w:tab/>
        <w:t xml:space="preserve">Účastníci sjednávají a uzavírají Smlouvu na dobu neurčitou; </w:t>
      </w:r>
      <w:r>
        <w:rPr>
          <w:rStyle w:val="Pagenumber"/>
          <w:rFonts w:cs="Arial" w:ascii="Arial" w:hAnsi="Arial"/>
          <w:sz w:val="18"/>
          <w:szCs w:val="18"/>
          <w:shd w:fill="auto" w:val="clear"/>
        </w:rPr>
        <w:t xml:space="preserve">Smlouvu lze ukončit: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709" w:right="0" w:hanging="709"/>
        <w:jc w:val="both"/>
        <w:rPr/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7.1.1</w:t>
        <w:tab/>
        <w:t xml:space="preserve">písemnou dohodou Účastníků s účinky </w:t>
      </w:r>
      <w:r>
        <w:rPr>
          <w:rStyle w:val="Pagenumber"/>
          <w:rFonts w:cs="Arial" w:ascii="Arial" w:hAnsi="Arial"/>
          <w:sz w:val="18"/>
          <w:szCs w:val="18"/>
          <w:shd w:fill="auto" w:val="clear"/>
        </w:rPr>
        <w:t>ke sjednanému dni</w:t>
      </w: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 xml:space="preserve"> nebo</w:t>
      </w:r>
    </w:p>
    <w:p>
      <w:pPr>
        <w:pStyle w:val="Normal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7.1.2</w:t>
        <w:tab/>
        <w:t>písemnou výpovědí s  výpovědní lhůtou v délce trvání 2 (slovy: Dva) měsíce s počátkem běhu lhůty od prvého dne měsíce následujícího po doručení výpovědi, vypoví-li kterýkoliv z Účastníků Smlouvu z jakéhokoliv důvodu nebo i bez udání důvodu;</w:t>
      </w:r>
    </w:p>
    <w:p>
      <w:pPr>
        <w:pStyle w:val="Normal"/>
        <w:spacing w:lineRule="auto" w:line="276" w:before="0" w:after="0"/>
        <w:ind w:left="709" w:right="0" w:hanging="709"/>
        <w:jc w:val="both"/>
        <w:rPr/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7.1.3</w:t>
        <w:tab/>
        <w:t>písemnou výpovědí s výpovědní lhůtou v délce trvání 3</w:t>
      </w:r>
      <w:r>
        <w:rPr>
          <w:rStyle w:val="Pagenumber"/>
          <w:rFonts w:cs="Arial" w:ascii="Arial" w:hAnsi="Arial"/>
          <w:sz w:val="18"/>
          <w:szCs w:val="18"/>
          <w:shd w:fill="auto" w:val="clear"/>
        </w:rPr>
        <w:t xml:space="preserve"> (slovy: Tři) pracovní dny s počátkem běhu lhůty ode dne následujícího po doručení výpovědi (dále i jen jako </w:t>
      </w:r>
      <w:r>
        <w:rPr>
          <w:rStyle w:val="Pagenumber"/>
          <w:rFonts w:cs="Arial" w:ascii="Arial" w:hAnsi="Arial"/>
          <w:b/>
          <w:sz w:val="18"/>
          <w:szCs w:val="18"/>
          <w:shd w:fill="auto" w:val="clear"/>
        </w:rPr>
        <w:t>“zkrácená lhůta“</w:t>
      </w:r>
      <w:r>
        <w:rPr>
          <w:rStyle w:val="Pagenumber"/>
          <w:rFonts w:cs="Arial" w:ascii="Arial" w:hAnsi="Arial"/>
          <w:sz w:val="18"/>
          <w:szCs w:val="18"/>
          <w:shd w:fill="auto" w:val="clear"/>
        </w:rPr>
        <w:t>), vypoví-li kterýkoliv z Účastníků Smlouvu z důvodů ve Smlouvě sjednaných.</w:t>
      </w:r>
    </w:p>
    <w:p>
      <w:pPr>
        <w:pStyle w:val="Podtitul"/>
        <w:tabs>
          <w:tab w:val="clear" w:pos="708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Arial" w:hAnsi="Arial" w:cs="Arial"/>
          <w:color w:val="000000"/>
          <w:sz w:val="18"/>
          <w:szCs w:val="18"/>
          <w:shd w:fill="auto" w:val="clear"/>
        </w:rPr>
      </w:pPr>
      <w:r>
        <w:rPr>
          <w:rFonts w:cs="Arial"/>
          <w:color w:val="000000"/>
          <w:sz w:val="18"/>
          <w:szCs w:val="18"/>
          <w:shd w:fill="auto" w:val="clear"/>
        </w:rPr>
      </w:r>
    </w:p>
    <w:p>
      <w:pPr>
        <w:pStyle w:val="Podtitul"/>
        <w:spacing w:lineRule="auto" w:line="276" w:before="0" w:after="0"/>
        <w:ind w:left="567" w:right="0" w:hanging="567"/>
        <w:jc w:val="both"/>
        <w:rPr/>
      </w:pPr>
      <w:r>
        <w:rPr>
          <w:rFonts w:cs="Arial"/>
          <w:color w:val="000000"/>
          <w:sz w:val="18"/>
          <w:szCs w:val="18"/>
          <w:shd w:fill="auto" w:val="clear"/>
        </w:rPr>
        <w:t>7.2</w:t>
        <w:tab/>
      </w:r>
      <w:r>
        <w:rPr>
          <w:rFonts w:eastAsia="ArialMT" w:cs="ArialMT" w:ascii="ArialMT" w:hAnsi="ArialMT"/>
          <w:i w:val="false"/>
          <w:iCs w:val="false"/>
          <w:color w:val="000000"/>
          <w:sz w:val="18"/>
          <w:szCs w:val="18"/>
          <w:shd w:fill="auto" w:val="clear"/>
        </w:rPr>
        <w:t>Nezajistí-li Zákazník odpojení PZTS od PCO dle odst. 5.2.3, resp. 5.2.4, výpovědní doba se prodlužuje a tato Smlouva, resp. příslušný Realizační dodatek trvá včetně povinnosti platit v něm sjednané platby do doby faktického odpojení.</w:t>
      </w:r>
    </w:p>
    <w:p>
      <w:pPr>
        <w:pStyle w:val="Podtitul"/>
        <w:spacing w:lineRule="auto" w:line="276" w:before="0" w:after="0"/>
        <w:ind w:left="567" w:right="0" w:hanging="567"/>
        <w:jc w:val="both"/>
        <w:rPr>
          <w:sz w:val="18"/>
          <w:szCs w:val="18"/>
          <w:shd w:fill="auto" w:val="clear"/>
        </w:rPr>
      </w:pPr>
      <w:r>
        <w:rPr>
          <w:sz w:val="18"/>
          <w:szCs w:val="18"/>
          <w:shd w:fill="auto" w:val="clear"/>
        </w:rPr>
      </w:r>
    </w:p>
    <w:p>
      <w:pPr>
        <w:pStyle w:val="Podtitul"/>
        <w:spacing w:lineRule="auto" w:line="276" w:before="0" w:after="0"/>
        <w:ind w:left="567" w:right="0" w:hanging="567"/>
        <w:jc w:val="both"/>
        <w:rPr>
          <w:rFonts w:ascii="Arial" w:hAnsi="Arial" w:cs="Arial"/>
          <w:i w:val="false"/>
          <w:i w:val="false"/>
          <w:iCs w:val="false"/>
          <w:color w:val="000000"/>
          <w:sz w:val="18"/>
          <w:szCs w:val="18"/>
          <w:shd w:fill="auto" w:val="clear"/>
        </w:rPr>
      </w:pPr>
      <w:r>
        <w:rPr>
          <w:rFonts w:cs="Arial"/>
          <w:i w:val="false"/>
          <w:iCs w:val="false"/>
          <w:color w:val="000000"/>
          <w:sz w:val="18"/>
          <w:szCs w:val="18"/>
          <w:shd w:fill="auto" w:val="clear"/>
        </w:rPr>
        <w:t>7.3</w:t>
        <w:tab/>
        <w:t>Zákazník je oprávněn vypovědět Smlouvu ve zkrácené lhůtě, nezjedná-li TUEBOR ani přes opakovanou písemnou výtku podstatného porušení Smlouvy v přiměřené době nápravu.</w:t>
      </w:r>
    </w:p>
    <w:p>
      <w:pPr>
        <w:pStyle w:val="Tlotextu"/>
        <w:spacing w:lineRule="auto" w:line="276" w:before="0" w:after="0"/>
        <w:ind w:left="0" w:right="0" w:hanging="0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Tlotextu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7.4</w:t>
        <w:tab/>
        <w:t>TUEBOR je oprávněn vypovědět Smlouvu ve zkrácené lhůtě, bylo-li proti Zákazníkovi zahájeno insolvenční, exekuční nebo trestní řízení nebo vstoupil-li Zákazník do likvidace.</w:t>
      </w:r>
    </w:p>
    <w:p>
      <w:pPr>
        <w:pStyle w:val="Tlotextu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Tlotextu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7.5</w:t>
        <w:tab/>
        <w:t>Účastníci výslovně sjednávají, že postupem sjednaným pro zrušení Smlouvy je každý z Účastníků oprávněn zrušit Realizační dodatek; obsahuje-li Realizační dodatek ujednání o ostraze více objektů Zákazníka, je každý z Účastníků oprávněn zrušit postupem sjednaným pro zrušení Smlouvy i závazky plynoucí Účastníkům z ujednání o ostraze i jen jednoho z objektů Zákazníka.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eastAsia="Arial" w:cs="Arial"/>
          <w:sz w:val="18"/>
          <w:szCs w:val="18"/>
          <w:shd w:fill="auto" w:val="clear"/>
        </w:rPr>
      </w:pPr>
      <w:r>
        <w:rPr>
          <w:rFonts w:eastAsia="Arial" w:cs="Arial" w:ascii="Arial" w:hAnsi="Arial"/>
          <w:sz w:val="18"/>
          <w:szCs w:val="18"/>
          <w:shd w:fill="auto" w:val="clear"/>
        </w:rPr>
      </w:r>
    </w:p>
    <w:p>
      <w:pPr>
        <w:pStyle w:val="Tlotextu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7.6</w:t>
        <w:tab/>
        <w:t xml:space="preserve">TUEBOR je oprávněn </w:t>
      </w:r>
      <w:r>
        <w:rPr>
          <w:rFonts w:cs="Arial" w:ascii="Arial" w:hAnsi="Arial"/>
          <w:sz w:val="18"/>
          <w:szCs w:val="18"/>
          <w:shd w:fill="auto" w:val="clear"/>
        </w:rPr>
        <w:t xml:space="preserve">po předchozím upozornění odpojit PZTS od PCO, překročí-li prodlení Zákazníka se zaplacením kterékoliv pravidelné platby v odst. 6.1 této Smlouvy (dále i jen jako </w:t>
      </w:r>
      <w:r>
        <w:rPr>
          <w:rFonts w:cs="Arial" w:ascii="Arial" w:hAnsi="Arial"/>
          <w:b/>
          <w:sz w:val="18"/>
          <w:szCs w:val="18"/>
          <w:shd w:fill="auto" w:val="clear"/>
        </w:rPr>
        <w:t>“Pravidelná platba“</w:t>
      </w:r>
      <w:r>
        <w:rPr>
          <w:rFonts w:cs="Arial" w:ascii="Arial" w:hAnsi="Arial"/>
          <w:sz w:val="18"/>
          <w:szCs w:val="18"/>
          <w:shd w:fill="auto" w:val="clear"/>
        </w:rPr>
        <w:t>) více jak 30 (slovy: Třicet) dnů; okamžikem odpojení PZTS od PCO přerušuje se do doby splnění dluhu na Pravidelné platbě závazek TUEBOR strážit Objekt a po tuto dobu nevzniká odpovědnost TUEBOR za škody z neplnění závazku strážit Objekt.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7.7</w:t>
        <w:tab/>
        <w:t>TUEBOR je oprávněn plnění závazku strážit Objekt zcela nebo zčásti přerušit, nemůže-li jej z důvodu působení vyšší moci plnit řádně; o svém postupu je TUEBOR povinen Zákazníka v rámci možností řádně informovat.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 w:val="false"/>
          <w:b w:val="false"/>
          <w:bCs w:val="false"/>
          <w:sz w:val="18"/>
          <w:szCs w:val="18"/>
          <w:shd w:fill="auto" w:val="clear"/>
        </w:rPr>
      </w:pPr>
      <w:r>
        <w:rPr>
          <w:rFonts w:cs="Arial" w:ascii="Arial" w:hAnsi="Arial"/>
          <w:b w:val="false"/>
          <w:bCs w:val="false"/>
          <w:sz w:val="18"/>
          <w:szCs w:val="18"/>
          <w:shd w:fill="auto" w:val="clear"/>
        </w:rPr>
        <w:t>7.8</w:t>
        <w:tab/>
        <w:t>Zákazník souhlasí s postoupením této smlouvy jako celku, včetně veškerých práv a povinností z ní vyplývajících, třetí osobě.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 w:val="false"/>
          <w:b w:val="false"/>
          <w:bCs w:val="false"/>
          <w:sz w:val="18"/>
          <w:szCs w:val="18"/>
          <w:shd w:fill="auto" w:val="clear"/>
        </w:rPr>
      </w:pPr>
      <w:r>
        <w:rPr>
          <w:rFonts w:cs="Arial" w:ascii="Arial" w:hAnsi="Arial"/>
          <w:b w:val="false"/>
          <w:bCs w:val="false"/>
          <w:sz w:val="18"/>
          <w:szCs w:val="18"/>
          <w:shd w:fill="auto" w:val="clear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 w:val="false"/>
          <w:b w:val="false"/>
          <w:bCs w:val="false"/>
          <w:sz w:val="18"/>
          <w:szCs w:val="18"/>
          <w:shd w:fill="auto" w:val="clear"/>
        </w:rPr>
      </w:pPr>
      <w:r>
        <w:rPr>
          <w:rFonts w:cs="Arial" w:ascii="Arial" w:hAnsi="Arial"/>
          <w:b w:val="false"/>
          <w:bCs w:val="false"/>
          <w:sz w:val="18"/>
          <w:szCs w:val="18"/>
          <w:shd w:fill="auto" w:val="clear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 w:val="false"/>
          <w:b w:val="false"/>
          <w:bCs w:val="false"/>
          <w:sz w:val="18"/>
          <w:szCs w:val="18"/>
          <w:shd w:fill="auto" w:val="clear"/>
        </w:rPr>
      </w:pPr>
      <w:r>
        <w:rPr>
          <w:rFonts w:cs="Arial" w:ascii="Arial" w:hAnsi="Arial"/>
          <w:b w:val="false"/>
          <w:bCs w:val="false"/>
          <w:sz w:val="18"/>
          <w:szCs w:val="18"/>
          <w:shd w:fill="auto" w:val="clear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  <w:lang w:eastAsia="hi-IN" w:bidi="hi-IN"/>
        </w:rPr>
        <w:t>8.</w:t>
        <w:tab/>
        <w:t xml:space="preserve">Závěrečná ustanovení 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2"/>
          <w:szCs w:val="12"/>
          <w:shd w:fill="auto" w:val="clear"/>
          <w:lang w:eastAsia="hi-IN" w:bidi="hi-IN"/>
        </w:rPr>
      </w:pPr>
      <w:r>
        <w:rPr>
          <w:rFonts w:cs="Arial" w:ascii="Arial" w:hAnsi="Arial"/>
          <w:sz w:val="12"/>
          <w:szCs w:val="12"/>
          <w:shd w:fill="auto" w:val="clear"/>
          <w:lang w:eastAsia="hi-IN" w:bidi="hi-IN"/>
        </w:rPr>
      </w:r>
    </w:p>
    <w:p>
      <w:pPr>
        <w:pStyle w:val="Tlotextu"/>
        <w:widowControl/>
        <w:suppressAutoHyphens w:val="true"/>
        <w:bidi w:val="0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color w:val="000000"/>
          <w:sz w:val="18"/>
          <w:szCs w:val="18"/>
          <w:shd w:fill="auto" w:val="clear"/>
          <w:lang w:val="cs-CZ" w:eastAsia="hi-IN" w:bidi="hi-IN"/>
        </w:rPr>
        <w:t xml:space="preserve">8.1 </w:t>
        <w:tab/>
        <w:t xml:space="preserve">Účastníci se vzájemně zavazují (i) </w:t>
      </w:r>
      <w:r>
        <w:rPr>
          <w:rFonts w:cs="Arial" w:ascii="Arial" w:hAnsi="Arial"/>
          <w:bCs/>
          <w:color w:val="000000"/>
          <w:sz w:val="18"/>
          <w:szCs w:val="18"/>
          <w:shd w:fill="auto" w:val="clear"/>
          <w:lang w:val="cs-CZ" w:eastAsia="hi-IN" w:bidi="hi-IN"/>
        </w:rPr>
        <w:t xml:space="preserve">jednat spolu </w:t>
      </w:r>
      <w:r>
        <w:rPr>
          <w:rFonts w:cs="Arial" w:ascii="Arial" w:hAnsi="Arial"/>
          <w:color w:val="000000"/>
          <w:sz w:val="18"/>
          <w:szCs w:val="18"/>
          <w:shd w:fill="auto" w:val="clear"/>
          <w:lang w:val="cs-CZ" w:eastAsia="hi-IN" w:bidi="hi-IN"/>
        </w:rPr>
        <w:t xml:space="preserve">zejména při </w:t>
      </w:r>
      <w:r>
        <w:rPr>
          <w:rFonts w:cs="Arial" w:ascii="Arial" w:hAnsi="Arial"/>
          <w:bCs/>
          <w:color w:val="000000"/>
          <w:sz w:val="18"/>
          <w:szCs w:val="18"/>
          <w:shd w:fill="auto" w:val="clear"/>
          <w:lang w:val="cs-CZ" w:eastAsia="hi-IN" w:bidi="hi-IN"/>
        </w:rPr>
        <w:t xml:space="preserve">plnění závazků Smlouvou </w:t>
      </w:r>
      <w:r>
        <w:rPr>
          <w:rFonts w:cs="Arial" w:ascii="Arial" w:hAnsi="Arial"/>
          <w:color w:val="000000"/>
          <w:sz w:val="18"/>
          <w:szCs w:val="18"/>
          <w:shd w:fill="auto" w:val="clear"/>
          <w:lang w:val="cs-CZ"/>
        </w:rPr>
        <w:t xml:space="preserve">a/nebo Realizačním dodatkem </w:t>
      </w:r>
      <w:r>
        <w:rPr>
          <w:rFonts w:cs="Arial" w:ascii="Arial" w:hAnsi="Arial"/>
          <w:bCs/>
          <w:color w:val="000000"/>
          <w:sz w:val="18"/>
          <w:szCs w:val="18"/>
          <w:shd w:fill="auto" w:val="clear"/>
          <w:lang w:val="cs-CZ" w:eastAsia="hi-IN" w:bidi="hi-IN"/>
        </w:rPr>
        <w:t>založených poctivě a v souladu s dobrými mravy</w:t>
      </w:r>
      <w:r>
        <w:rPr>
          <w:rFonts w:cs="Arial" w:ascii="Arial" w:hAnsi="Arial"/>
          <w:color w:val="000000"/>
          <w:sz w:val="18"/>
          <w:szCs w:val="18"/>
          <w:shd w:fill="auto" w:val="clear"/>
          <w:lang w:val="cs-CZ" w:eastAsia="hi-IN" w:bidi="hi-IN"/>
        </w:rPr>
        <w:t xml:space="preserve"> a (ii) zachovat s výhradou zákonné povinnosti a/nebo nezbytného a přiměřeného použití pro účely jednání či sporu s druhým Účastníkem vůči třetím osobám přísnou mlčenlivost jak o obsahu Smlouvy </w:t>
      </w:r>
      <w:r>
        <w:rPr>
          <w:rFonts w:cs="Arial" w:ascii="Arial" w:hAnsi="Arial"/>
          <w:color w:val="000000"/>
          <w:sz w:val="18"/>
          <w:szCs w:val="18"/>
          <w:shd w:fill="auto" w:val="clear"/>
          <w:lang w:val="cs-CZ"/>
        </w:rPr>
        <w:t xml:space="preserve">a/nebo Realizačního dodatku </w:t>
      </w:r>
      <w:r>
        <w:rPr>
          <w:rFonts w:cs="Arial" w:ascii="Arial" w:hAnsi="Arial"/>
          <w:color w:val="000000"/>
          <w:sz w:val="18"/>
          <w:szCs w:val="18"/>
          <w:shd w:fill="auto" w:val="clear"/>
          <w:lang w:val="cs-CZ" w:eastAsia="hi-IN" w:bidi="hi-IN"/>
        </w:rPr>
        <w:t xml:space="preserve">a důvodech jejich uzavření, tak o obsahu informací získaných v  souvislosti s uzavřením Smlouvy </w:t>
      </w:r>
      <w:r>
        <w:rPr>
          <w:rFonts w:cs="Arial" w:ascii="Arial" w:hAnsi="Arial"/>
          <w:color w:val="000000"/>
          <w:sz w:val="18"/>
          <w:szCs w:val="18"/>
          <w:shd w:fill="auto" w:val="clear"/>
          <w:lang w:val="cs-CZ"/>
        </w:rPr>
        <w:t xml:space="preserve">a/nebo Realizačního dodatku </w:t>
      </w:r>
      <w:r>
        <w:rPr>
          <w:rFonts w:cs="Arial" w:ascii="Arial" w:hAnsi="Arial"/>
          <w:color w:val="000000"/>
          <w:sz w:val="18"/>
          <w:szCs w:val="18"/>
          <w:shd w:fill="auto" w:val="clear"/>
          <w:lang w:val="cs-CZ" w:eastAsia="hi-IN" w:bidi="hi-IN"/>
        </w:rPr>
        <w:t>nebo v průběhu jejich trvání a/nebo plnění, zejména je-li porušení mlčenlivosti způsobilé přivodit kterémukoliv z Účastníků újmu.</w:t>
      </w:r>
    </w:p>
    <w:p>
      <w:pPr>
        <w:pStyle w:val="Tlotextu"/>
        <w:widowControl/>
        <w:suppressAutoHyphens w:val="true"/>
        <w:bidi w:val="0"/>
        <w:spacing w:lineRule="auto" w:line="276" w:before="0" w:after="0"/>
        <w:ind w:left="567" w:right="0" w:hanging="567"/>
        <w:jc w:val="both"/>
        <w:rPr>
          <w:rFonts w:ascii="Arial" w:hAnsi="Arial" w:cs="Arial"/>
          <w:color w:val="000000"/>
          <w:sz w:val="12"/>
          <w:szCs w:val="12"/>
          <w:shd w:fill="auto" w:val="clear"/>
          <w:lang w:val="cs-CZ"/>
        </w:rPr>
      </w:pPr>
      <w:r>
        <w:rPr>
          <w:rFonts w:cs="Arial" w:ascii="Arial" w:hAnsi="Arial"/>
          <w:color w:val="000000"/>
          <w:sz w:val="12"/>
          <w:szCs w:val="12"/>
          <w:shd w:fill="auto" w:val="clear"/>
          <w:lang w:val="cs-CZ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8.2</w:t>
        <w:tab/>
        <w:t>Účastníci výslovně sjednávají, že: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2"/>
          <w:szCs w:val="12"/>
          <w:shd w:fill="auto" w:val="clear"/>
          <w:lang w:eastAsia="hi-IN" w:bidi="hi-IN"/>
        </w:rPr>
      </w:pPr>
      <w:r>
        <w:rPr>
          <w:rFonts w:cs="Arial" w:ascii="Arial" w:hAnsi="Arial"/>
          <w:sz w:val="12"/>
          <w:szCs w:val="12"/>
          <w:shd w:fill="auto" w:val="clear"/>
          <w:lang w:eastAsia="hi-IN" w:bidi="hi-IN"/>
        </w:rPr>
      </w:r>
    </w:p>
    <w:p>
      <w:pPr>
        <w:pStyle w:val="Tlotextu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8.2.1</w:t>
        <w:tab/>
        <w:t>pro vzájemné vztahy Účastníků Smlouvou a/nebo Realizačním dodatkem založené a Smlouvou a/nebo Realizačním dodatkem výslovně neupravené platí a jsou rozhodné účinné právní normy ČR; k rozhodování veškerých sporů mezi Účastníky ze Smlouvy a/nebo z Realizačního dodatku nebo na jejich základě vzniklých jsou příslušné soudy ČR a rozhodným jazykem pro výklad Smlouvy a/nebo Realizačního dodatku je jazyk český</w:t>
      </w:r>
    </w:p>
    <w:p>
      <w:pPr>
        <w:pStyle w:val="Tlotextu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8.2.2</w:t>
        <w:tab/>
        <w:t>žádný z  pojmů ve Smlouvě a/nebo v Realizačním dodatku použitých nesmí být připisován k tíži žádného z Účastníků z důvodu jeho použití Účastníkem jako prvním; právní normy občanského práva o obchodních zvyklostech nebo obchodních podmínkách se pro výklad Smlouvy a/nebo Realizačního dodatku nepoužijí;</w:t>
      </w:r>
    </w:p>
    <w:p>
      <w:pPr>
        <w:pStyle w:val="Normal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8.2.3</w:t>
        <w:tab/>
        <w:t>přebírají na sebe nebezpečí změny okolností; aplikace ust. §1765 a ust. §1766 ObčZ na práva nebo závazky Účastníků se vylučuje;</w:t>
      </w:r>
    </w:p>
    <w:p>
      <w:pPr>
        <w:pStyle w:val="Tlotextu"/>
        <w:spacing w:lineRule="auto" w:line="276" w:before="0" w:after="0"/>
        <w:ind w:left="709" w:right="0" w:hanging="709"/>
        <w:jc w:val="both"/>
        <w:rPr/>
      </w:pPr>
      <w:r>
        <w:rPr>
          <w:rFonts w:cs="Arial" w:ascii="Arial" w:hAnsi="Arial"/>
          <w:sz w:val="18"/>
          <w:szCs w:val="18"/>
          <w:shd w:fill="auto" w:val="clear"/>
        </w:rPr>
        <w:t>8.2.4</w:t>
        <w:tab/>
        <w:t>jakékoliv změny či doplnění Smlouvy a/nebo Realizačního dodatku včetně dohody o způsobu/formě změny či doplnění Smlouvy a/nebo Realizačního dodatku jsou možné pouze písemnými dodatky ke Smlouvě a/nebo Realizačnímu dodatku; v</w:t>
      </w:r>
      <w:r>
        <w:rPr>
          <w:rFonts w:eastAsia="ArialMT" w:cs="ArialMT" w:ascii="ArialMT" w:hAnsi="ArialMT"/>
          <w:color w:val="000000"/>
          <w:sz w:val="18"/>
          <w:szCs w:val="18"/>
          <w:shd w:fill="auto" w:val="clear"/>
        </w:rPr>
        <w:t>ýjimku tvoří aktualizace kontaktů, změna IP adresy, SW, příp. přihlašovacích údajů k video verifikaci dle odst. 5.3 Smlouvy, u které postačuje oznámení elektronickou zprávou z adresy Zákazníka uvedené v Realizačním dodatku do emailové schránky TUEBOR</w:t>
      </w:r>
      <w:r>
        <w:rPr>
          <w:rFonts w:eastAsia="ArialMT" w:cs="ArialMT" w:ascii="ArialMT" w:hAnsi="ArialMT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25"/>
          <w:u w:val="none"/>
          <w:shd w:fill="auto" w:val="clear"/>
          <w:em w:val="none"/>
        </w:rPr>
        <w:t xml:space="preserve"> pco@pco-service.cz a jeho následné odsouhlasení.</w:t>
      </w:r>
    </w:p>
    <w:p>
      <w:pPr>
        <w:pStyle w:val="Normal"/>
        <w:spacing w:lineRule="auto" w:line="276" w:before="0" w:after="0"/>
        <w:ind w:left="709" w:right="0" w:hanging="709"/>
        <w:jc w:val="both"/>
        <w:rPr/>
      </w:pPr>
      <w:r>
        <w:rPr>
          <w:rFonts w:cs="Arial" w:ascii="Arial" w:hAnsi="Arial"/>
          <w:sz w:val="18"/>
          <w:szCs w:val="18"/>
          <w:shd w:fill="auto" w:val="clear"/>
        </w:rPr>
        <w:t>8.2.5</w:t>
        <w:tab/>
        <w:t xml:space="preserve">každý z nich je oprávněn i povinen doručovat druhému Účastníkovi písemné právní úkony (dále i jen jako </w:t>
      </w:r>
      <w:r>
        <w:rPr>
          <w:rFonts w:cs="Arial" w:ascii="Arial" w:hAnsi="Arial"/>
          <w:b/>
          <w:sz w:val="18"/>
          <w:szCs w:val="18"/>
          <w:shd w:fill="auto" w:val="clear"/>
        </w:rPr>
        <w:t>“písemnosti“</w:t>
      </w:r>
      <w:r>
        <w:rPr>
          <w:rFonts w:cs="Arial" w:ascii="Arial" w:hAnsi="Arial"/>
          <w:sz w:val="18"/>
          <w:szCs w:val="18"/>
          <w:shd w:fill="auto" w:val="clear"/>
        </w:rPr>
        <w:t xml:space="preserve">) na doručovací adresu, kterou Účastníci sjednávají adresu sídla Účastníka označenou v rubrice Smlouvy nebo datovou schránku Účastníka (dále i jen jako </w:t>
      </w:r>
      <w:r>
        <w:rPr>
          <w:rFonts w:cs="Arial" w:ascii="Arial" w:hAnsi="Arial"/>
          <w:b/>
          <w:sz w:val="18"/>
          <w:szCs w:val="18"/>
          <w:shd w:fill="auto" w:val="clear"/>
        </w:rPr>
        <w:t>“doručovací adresa“</w:t>
      </w:r>
      <w:r>
        <w:rPr>
          <w:rFonts w:cs="Arial" w:ascii="Arial" w:hAnsi="Arial"/>
          <w:sz w:val="18"/>
          <w:szCs w:val="18"/>
          <w:shd w:fill="auto" w:val="clear"/>
        </w:rPr>
        <w:t>) nebo i na elektronickou adresu;</w:t>
      </w:r>
    </w:p>
    <w:p>
      <w:pPr>
        <w:pStyle w:val="Tlotextu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8.2.6</w:t>
        <w:tab/>
        <w:t xml:space="preserve">nepotvrdí-li adresát písemnosti její doručení na označenou elektronickou adresu nejpozději do 5 (slovy: Pěti) pracovních dnů od odeslání, je odesílající Účastník oprávněn doručit druhému Účastníkovi písemnost na jeho náklady na doručovací adresu; </w:t>
      </w:r>
    </w:p>
    <w:p>
      <w:pPr>
        <w:pStyle w:val="Tlotextu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8.2.7</w:t>
        <w:tab/>
        <w:t>oznámí-li jeden Účastník druhému prokazatelným způsobem jinou doručovací adresu pro doručování písemností, je adresát oznámení oprávněn i povinen doručovat písemnosti na oznámenou adresu;</w:t>
      </w:r>
    </w:p>
    <w:p>
      <w:pPr>
        <w:pStyle w:val="Tlotextu"/>
        <w:spacing w:lineRule="auto" w:line="276" w:before="0" w:after="0"/>
        <w:ind w:left="709" w:right="0" w:hanging="709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8.2.8</w:t>
        <w:tab/>
      </w:r>
      <w:r>
        <w:rPr>
          <w:rFonts w:cs="Arial" w:ascii="Arial" w:hAnsi="Arial"/>
          <w:sz w:val="18"/>
          <w:szCs w:val="18"/>
          <w:u w:val="none" w:color="000000"/>
          <w:shd w:fill="auto" w:val="clear"/>
          <w:lang w:val="cs-CZ"/>
          <w14:textOutline w14:w="12700" w14:cap="flat">
            <w14:noFill/>
            <w14:miter w14:lim="400000"/>
          </w14:textOutline>
        </w:rPr>
        <w:t>stane-li se jakékoliv ujed</w:t>
      </w:r>
      <w:r>
        <w:rPr>
          <w:rFonts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18"/>
          <w:sz w:val="18"/>
          <w:szCs w:val="18"/>
          <w:u w:val="none" w:color="000000"/>
          <w:shd w:fill="auto" w:val="clear"/>
          <w:vertAlign w:val="baseline"/>
          <w:lang w:val="cs-CZ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nání v této Smlouvě a/nebo Realizačním dodatku sjednané neplatné nebo neúčinné nebo nevymahatelné (dále i jen jako </w:t>
      </w:r>
      <w:r>
        <w:rPr>
          <w:rFonts w:cs="Arial"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18"/>
          <w:sz w:val="18"/>
          <w:szCs w:val="18"/>
          <w:u w:val="none" w:color="000000"/>
          <w:shd w:fill="auto" w:val="clear"/>
          <w:vertAlign w:val="baseline"/>
          <w:lang w:val="cs-CZ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"dotčená ujednání"</w:t>
      </w:r>
      <w:r>
        <w:rPr>
          <w:rFonts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18"/>
          <w:sz w:val="18"/>
          <w:szCs w:val="18"/>
          <w:u w:val="none" w:color="000000"/>
          <w:shd w:fill="auto" w:val="clear"/>
          <w:vertAlign w:val="baseline"/>
          <w:lang w:val="cs-CZ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), jsou Účastníci zavázáni nahradit je ujednáním blížícím se svým obsahem nebo účelem co nejvíce smyslu nebo účelu dotčeného ujednání; ostatní ujednání v této Smlouvě a/nebo Realizačním dodatku sjednaná zůstávají v celém svém rozsahu pro Účastníky závazná.</w:t>
      </w:r>
    </w:p>
    <w:p>
      <w:pPr>
        <w:pStyle w:val="Tlotextu"/>
        <w:spacing w:lineRule="auto" w:line="276" w:before="0" w:after="0"/>
        <w:ind w:left="709" w:right="0" w:hanging="709"/>
        <w:jc w:val="both"/>
        <w:rPr>
          <w:rFonts w:ascii="Arial" w:hAnsi="Arial" w:cs="Arial"/>
          <w:sz w:val="12"/>
          <w:szCs w:val="12"/>
          <w:shd w:fill="auto" w:val="clear"/>
        </w:rPr>
      </w:pPr>
      <w:r>
        <w:rPr>
          <w:rFonts w:cs="Arial" w:ascii="Arial" w:hAnsi="Arial"/>
          <w:sz w:val="12"/>
          <w:szCs w:val="12"/>
          <w:shd w:fill="auto" w:val="clear"/>
        </w:rPr>
      </w:r>
    </w:p>
    <w:p>
      <w:pPr>
        <w:pStyle w:val="Normal"/>
        <w:widowControl w:val="false"/>
        <w:spacing w:lineRule="auto" w:line="276" w:before="0" w:after="0"/>
        <w:ind w:left="567" w:right="0" w:hanging="567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8.3</w:t>
        <w:tab/>
        <w:t>Zákazník bere na vědomí, že v souvislosti s řádným plněním závazku TUEBOR získává a zpracovává osobní údaje Zákazníka a/nebo jeho zaměstnanců; druhy a zdroje údajů, účel využití, pravidla poskytování a způsob ochrany určuje vnitropodniková směrnice.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2"/>
          <w:szCs w:val="12"/>
          <w:shd w:fill="auto" w:val="clear"/>
          <w:lang w:eastAsia="hi-IN" w:bidi="hi-IN"/>
        </w:rPr>
      </w:pPr>
      <w:r>
        <w:rPr>
          <w:rFonts w:cs="Arial" w:ascii="Arial" w:hAnsi="Arial"/>
          <w:sz w:val="12"/>
          <w:szCs w:val="12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567" w:right="0" w:hanging="567"/>
        <w:jc w:val="both"/>
        <w:rPr/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  <w:t>8.4</w:t>
        <w:tab/>
        <w:t>Účastníci se zavazují vyhotovit Smlouvu ve dvou stejnopisech s účinky a závazností originálu, z nichž každý Účastník ponechá si jeden stejnopis, a připojit k ní jako nedílnou součást následující přílohy:</w:t>
      </w:r>
    </w:p>
    <w:p>
      <w:pPr>
        <w:pStyle w:val="Normal"/>
        <w:spacing w:lineRule="auto" w:line="276" w:before="0" w:after="0"/>
        <w:ind w:left="567" w:right="0" w:hanging="567"/>
        <w:jc w:val="both"/>
        <w:rPr>
          <w:rFonts w:ascii="Arial" w:hAnsi="Arial" w:cs="Arial"/>
          <w:sz w:val="12"/>
          <w:szCs w:val="12"/>
          <w:shd w:fill="auto" w:val="clear"/>
          <w:lang w:eastAsia="hi-IN" w:bidi="hi-IN"/>
        </w:rPr>
      </w:pPr>
      <w:r>
        <w:rPr>
          <w:rFonts w:cs="Arial" w:ascii="Arial" w:hAnsi="Arial"/>
          <w:sz w:val="12"/>
          <w:szCs w:val="12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709" w:right="0" w:hanging="709"/>
        <w:jc w:val="both"/>
        <w:rPr/>
      </w:pPr>
      <w:r>
        <w:rPr>
          <w:rFonts w:cs="Arial" w:ascii="Arial" w:hAnsi="Arial"/>
          <w:sz w:val="18"/>
          <w:szCs w:val="18"/>
          <w:shd w:fill="auto" w:val="clear"/>
        </w:rPr>
        <w:t>8.4.1</w:t>
        <w:tab/>
        <w:t>Příloha 1: Realizační dodatky k Rámcové smlouvě o zajištění ostrahy</w:t>
      </w:r>
    </w:p>
    <w:p>
      <w:pPr>
        <w:pStyle w:val="Normal"/>
        <w:spacing w:lineRule="auto" w:line="276" w:before="0" w:after="0"/>
        <w:ind w:left="0" w:right="0" w:hanging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  <w:lang w:eastAsia="hi-IN" w:bidi="hi-IN"/>
        </w:rPr>
      </w:pPr>
      <w:r>
        <w:rPr>
          <w:rFonts w:cs="Arial" w:ascii="Arial" w:hAnsi="Arial"/>
          <w:sz w:val="18"/>
          <w:szCs w:val="18"/>
          <w:shd w:fill="auto" w:val="clear"/>
          <w:lang w:eastAsia="hi-IN" w:bidi="hi-IN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</w:rPr>
        <w:t>Účastníci výslovně prohlašují a potvrzují, že Smlouvu si přečetli, shledali celý její obsah správný a odpovídající pravé a svobodné vůli Účastníků stejně jako skutečnostem ve Smlouvě popsaným, na důkaz správnosti a pravdivosti tohoto prohlášení stvrzují osoby oprávněné za Účastníky jednat tuto Smlouvu bez výhrad svými vlastnoručními podpisy: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</w:r>
    </w:p>
    <w:p>
      <w:pPr>
        <w:pStyle w:val="Tlotextu"/>
        <w:tabs>
          <w:tab w:val="clear" w:pos="708"/>
          <w:tab w:val="left" w:pos="426" w:leader="none"/>
          <w:tab w:val="left" w:pos="567" w:leader="none"/>
          <w:tab w:val="left" w:pos="5670" w:leader="none"/>
        </w:tabs>
        <w:spacing w:lineRule="auto" w:line="276" w:before="0" w:after="0"/>
        <w:ind w:left="426" w:right="0" w:hanging="426"/>
        <w:jc w:val="both"/>
        <w:rPr>
          <w:rFonts w:ascii="Arial" w:hAnsi="Arial" w:cs="Arial"/>
          <w:b/>
          <w:b/>
          <w:sz w:val="18"/>
          <w:szCs w:val="18"/>
          <w:shd w:fill="auto" w:val="clear"/>
        </w:rPr>
      </w:pPr>
      <w:r>
        <w:rPr>
          <w:rFonts w:cs="Arial" w:ascii="Arial" w:hAnsi="Arial"/>
          <w:b/>
          <w:sz w:val="18"/>
          <w:szCs w:val="18"/>
          <w:shd w:fill="auto" w:val="clear"/>
        </w:rPr>
        <w:t xml:space="preserve">V ………………….. dne …………………… 20.... </w:t>
        <w:tab/>
        <w:t xml:space="preserve">V ………………….. dne …………………… 20....          </w:t>
      </w:r>
    </w:p>
    <w:p>
      <w:pPr>
        <w:pStyle w:val="Import22"/>
        <w:spacing w:lineRule="auto" w:line="276"/>
        <w:ind w:left="0" w:right="0" w:hanging="0"/>
        <w:jc w:val="both"/>
        <w:rPr>
          <w:rFonts w:ascii="Arial" w:hAnsi="Arial" w:cs="Arial"/>
          <w:b/>
          <w:b/>
          <w:sz w:val="12"/>
          <w:szCs w:val="12"/>
          <w:shd w:fill="auto" w:val="clear"/>
        </w:rPr>
      </w:pPr>
      <w:r>
        <w:rPr>
          <w:rFonts w:cs="Arial" w:ascii="Arial" w:hAnsi="Arial"/>
          <w:b/>
          <w:sz w:val="12"/>
          <w:szCs w:val="12"/>
          <w:shd w:fill="auto" w:val="clear"/>
        </w:rPr>
      </w:r>
    </w:p>
    <w:p>
      <w:pPr>
        <w:pStyle w:val="Import22"/>
        <w:tabs>
          <w:tab w:val="left" w:pos="1152" w:leader="none"/>
          <w:tab w:val="left" w:pos="3744" w:leader="none"/>
          <w:tab w:val="left" w:pos="5670" w:leader="none"/>
          <w:tab w:val="left" w:pos="6912" w:leader="none"/>
          <w:tab w:val="left" w:pos="9792" w:leader="none"/>
        </w:tabs>
        <w:spacing w:lineRule="auto" w:line="276"/>
        <w:ind w:left="0" w:right="0" w:hanging="0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</w:rPr>
        <w:t>Galerie Klatovy / Klenová, příspěvková organizace</w:t>
        <w:tab/>
        <w:t xml:space="preserve">TUEBOR </w:t>
      </w:r>
      <w:r>
        <w:rPr>
          <w:rFonts w:cs="Arial" w:ascii="Arial" w:hAnsi="Arial"/>
          <w:b/>
          <w:bCs/>
          <w:sz w:val="18"/>
          <w:szCs w:val="18"/>
          <w:shd w:fill="auto" w:val="clear"/>
        </w:rPr>
        <w:t>Office Protection</w:t>
      </w:r>
      <w:r>
        <w:rPr>
          <w:rFonts w:cs="Arial" w:ascii="Arial" w:hAnsi="Arial"/>
          <w:b/>
          <w:bCs/>
          <w:sz w:val="18"/>
          <w:szCs w:val="18"/>
          <w:shd w:fill="auto" w:val="clear"/>
        </w:rPr>
        <w:t xml:space="preserve"> s.r.o.</w:t>
      </w:r>
    </w:p>
    <w:p>
      <w:pPr>
        <w:pStyle w:val="Import22"/>
        <w:tabs>
          <w:tab w:val="left" w:pos="1152" w:leader="none"/>
          <w:tab w:val="left" w:pos="3744" w:leader="none"/>
          <w:tab w:val="left" w:pos="5670" w:leader="none"/>
          <w:tab w:val="left" w:pos="6912" w:leader="none"/>
          <w:tab w:val="left" w:pos="9792" w:leader="none"/>
        </w:tabs>
        <w:spacing w:lineRule="auto" w:line="276"/>
        <w:ind w:left="0" w:right="0" w:hanging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18"/>
          <w:szCs w:val="18"/>
          <w:shd w:fill="auto" w:val="clear"/>
        </w:rPr>
        <w:t>Ing. Hana Kristová, ředitelka</w:t>
        <w:tab/>
        <w:tab/>
        <w:t xml:space="preserve">Mgr. </w:t>
      </w:r>
      <w:r>
        <w:rPr>
          <w:rFonts w:cs="Arial" w:ascii="Arial" w:hAnsi="Arial"/>
          <w:b w:val="false"/>
          <w:bCs/>
          <w:i w:val="false"/>
          <w:iCs w:val="false"/>
          <w:sz w:val="18"/>
          <w:szCs w:val="18"/>
          <w:shd w:fill="auto" w:val="clear"/>
        </w:rPr>
        <w:t>Tomáš Hněvsa, projektový manažer PCO</w:t>
      </w:r>
    </w:p>
    <w:p>
      <w:pPr>
        <w:pStyle w:val="Import22"/>
        <w:tabs>
          <w:tab w:val="left" w:pos="1152" w:leader="none"/>
          <w:tab w:val="left" w:pos="3744" w:leader="none"/>
          <w:tab w:val="left" w:pos="5670" w:leader="none"/>
          <w:tab w:val="left" w:pos="6912" w:leader="none"/>
          <w:tab w:val="left" w:pos="9792" w:leader="none"/>
        </w:tabs>
        <w:spacing w:lineRule="auto" w:line="276"/>
        <w:ind w:left="0" w:right="0" w:hanging="0"/>
        <w:jc w:val="both"/>
        <w:rPr/>
      </w:pPr>
      <w:r>
        <w:rPr>
          <w:rFonts w:cs="Arial" w:ascii="Arial" w:hAnsi="Arial"/>
          <w:b w:val="false"/>
          <w:bCs/>
          <w:i w:val="false"/>
          <w:iCs w:val="false"/>
          <w:sz w:val="18"/>
          <w:szCs w:val="18"/>
          <w:shd w:fill="auto" w:val="clear"/>
        </w:rPr>
        <w:tab/>
        <w:tab/>
        <w:tab/>
        <w:t>na základě pověření / zmocnění</w:t>
      </w:r>
      <w:r>
        <w:rPr>
          <w:rFonts w:cs="Arial" w:ascii="Arial" w:hAnsi="Arial"/>
          <w:bCs/>
          <w:i w:val="false"/>
          <w:iCs w:val="false"/>
          <w:sz w:val="18"/>
          <w:szCs w:val="18"/>
          <w:shd w:fill="auto" w:val="clear"/>
        </w:rPr>
        <w:tab/>
      </w:r>
      <w:r>
        <w:rPr>
          <w:rFonts w:cs="Arial" w:ascii="Arial" w:hAnsi="Arial"/>
          <w:b/>
          <w:bCs/>
          <w:i w:val="false"/>
          <w:iCs w:val="false"/>
          <w:sz w:val="18"/>
          <w:szCs w:val="18"/>
          <w:shd w:fill="auto" w:val="clear"/>
        </w:rPr>
        <w:tab/>
      </w:r>
    </w:p>
    <w:p>
      <w:pPr>
        <w:pStyle w:val="Import22"/>
        <w:tabs>
          <w:tab w:val="left" w:pos="1152" w:leader="none"/>
          <w:tab w:val="left" w:pos="3744" w:leader="none"/>
          <w:tab w:val="left" w:pos="5670" w:leader="none"/>
          <w:tab w:val="left" w:pos="6912" w:leader="none"/>
          <w:tab w:val="left" w:pos="9792" w:leader="none"/>
        </w:tabs>
        <w:spacing w:lineRule="auto" w:line="276"/>
        <w:ind w:left="0" w:right="0" w:hanging="0"/>
        <w:jc w:val="both"/>
        <w:rPr>
          <w:rFonts w:ascii="Arial" w:hAnsi="Arial" w:cs="Arial"/>
          <w:b/>
          <w:b/>
          <w:bCs/>
          <w:sz w:val="14"/>
          <w:szCs w:val="14"/>
          <w:shd w:fill="auto" w:val="clear"/>
        </w:rPr>
      </w:pPr>
      <w:r>
        <w:rPr>
          <w:rFonts w:cs="Arial" w:ascii="Arial" w:hAnsi="Arial"/>
          <w:b/>
          <w:bCs/>
          <w:sz w:val="14"/>
          <w:szCs w:val="14"/>
          <w:shd w:fill="auto" w:val="clear"/>
        </w:rPr>
        <w:tab/>
        <w:tab/>
      </w:r>
    </w:p>
    <w:p>
      <w:pPr>
        <w:pStyle w:val="Import22"/>
        <w:spacing w:lineRule="auto" w:line="276"/>
        <w:ind w:left="0" w:right="0" w:hanging="0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</w:rPr>
      </w:r>
    </w:p>
    <w:p>
      <w:pPr>
        <w:pStyle w:val="Import22"/>
        <w:spacing w:lineRule="auto" w:line="276"/>
        <w:ind w:left="0" w:right="0" w:hanging="0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</w:rPr>
      </w:r>
    </w:p>
    <w:p>
      <w:pPr>
        <w:pStyle w:val="Import22"/>
        <w:spacing w:lineRule="auto" w:line="276"/>
        <w:ind w:left="0" w:right="0" w:hanging="0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</w:rPr>
      </w:r>
    </w:p>
    <w:p>
      <w:pPr>
        <w:pStyle w:val="Import22"/>
        <w:tabs>
          <w:tab w:val="left" w:pos="1152" w:leader="none"/>
          <w:tab w:val="left" w:pos="3744" w:leader="none"/>
          <w:tab w:val="left" w:pos="5670" w:leader="none"/>
          <w:tab w:val="left" w:pos="6912" w:leader="none"/>
          <w:tab w:val="left" w:pos="9792" w:leader="none"/>
        </w:tabs>
        <w:spacing w:lineRule="auto" w:line="276"/>
        <w:ind w:left="0" w:right="0" w:hanging="0"/>
        <w:jc w:val="both"/>
        <w:rPr>
          <w:rFonts w:ascii="Arial" w:hAnsi="Arial" w:cs="Arial"/>
          <w:b/>
          <w:b/>
          <w:bCs/>
          <w:sz w:val="18"/>
          <w:szCs w:val="18"/>
          <w:shd w:fill="auto" w:val="clear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</w:rPr>
        <w:t>...................................................................</w:t>
        <w:tab/>
        <w:tab/>
        <w:t>...................................................................</w:t>
      </w:r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560" w:hanging="5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60" w:hanging="560"/>
      </w:pPr>
      <w:rPr>
        <w:sz w:val="18"/>
        <w:szCs w:val="18"/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400" w:hanging="400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400" w:hanging="400"/>
      </w:pPr>
      <w:rPr>
        <w:sz w:val="18"/>
        <w:szCs w:val="18"/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18"/>
        <w:szCs w:val="18"/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abstractNum w:abstractNumId="4"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928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6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4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92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2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88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16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84" w:hanging="1440"/>
      </w:pPr>
      <w:rPr/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18"/>
        <w:szCs w:val="18"/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18"/>
        <w:szCs w:val="18"/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18"/>
        <w:szCs w:val="18"/>
        <w:rFonts w:ascii="Arial" w:hAnsi="Arial" w:cs="Arial"/>
        <w:lang w:eastAsia="hi-IN" w:bidi="hi-I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52" w:before="0" w:after="16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en-US" w:bidi="ar-SA"/>
    </w:rPr>
  </w:style>
  <w:style w:type="paragraph" w:styleId="Nadpis1">
    <w:name w:val="Heading 1"/>
    <w:basedOn w:val="Normal"/>
    <w:next w:val="Tlotextu"/>
    <w:qFormat/>
    <w:pPr>
      <w:keepNext w:val="true"/>
      <w:keepLines/>
      <w:numPr>
        <w:ilvl w:val="0"/>
        <w:numId w:val="1"/>
      </w:numPr>
      <w:spacing w:before="240" w:after="0"/>
      <w:outlineLvl w:val="0"/>
    </w:pPr>
    <w:rPr/>
  </w:style>
  <w:style w:type="paragraph" w:styleId="Nadpis3">
    <w:name w:val="Heading 3"/>
    <w:basedOn w:val="Normal"/>
    <w:next w:val="Tlotextu"/>
    <w:qFormat/>
    <w:pPr>
      <w:keepNext w:val="true"/>
      <w:keepLines/>
      <w:numPr>
        <w:ilvl w:val="2"/>
        <w:numId w:val="1"/>
      </w:numPr>
      <w:spacing w:before="200" w:after="0"/>
      <w:outlineLvl w:val="2"/>
    </w:pPr>
    <w:rPr/>
  </w:style>
  <w:style w:type="character" w:styleId="WW8Num2z1">
    <w:name w:val="WW8Num2z1"/>
    <w:qFormat/>
    <w:rPr>
      <w:rFonts w:ascii="Arial" w:hAnsi="Arial" w:cs="Arial"/>
      <w:sz w:val="18"/>
      <w:szCs w:val="18"/>
    </w:rPr>
  </w:style>
  <w:style w:type="character" w:styleId="WW8Num2z2">
    <w:name w:val="WW8Num2z2"/>
    <w:qFormat/>
    <w:rPr>
      <w:rFonts w:cs="Arial"/>
    </w:rPr>
  </w:style>
  <w:style w:type="character" w:styleId="WW8Num3z1">
    <w:name w:val="WW8Num3z1"/>
    <w:qFormat/>
    <w:rPr>
      <w:rFonts w:ascii="Arial" w:hAnsi="Arial" w:cs="Arial"/>
      <w:sz w:val="18"/>
      <w:szCs w:val="18"/>
    </w:rPr>
  </w:style>
  <w:style w:type="character" w:styleId="WW8Num4z0">
    <w:name w:val="WW8Num4z0"/>
    <w:qFormat/>
    <w:rPr>
      <w:b/>
    </w:rPr>
  </w:style>
  <w:style w:type="character" w:styleId="WW8Num5z2">
    <w:name w:val="WW8Num5z2"/>
    <w:qFormat/>
    <w:rPr>
      <w:rFonts w:cs="Arial"/>
    </w:rPr>
  </w:style>
  <w:style w:type="character" w:styleId="WW8Num6z1">
    <w:name w:val="WW8Num6z1"/>
    <w:qFormat/>
    <w:rPr>
      <w:rFonts w:ascii="Arial" w:hAnsi="Arial" w:cs="Arial"/>
      <w:sz w:val="18"/>
      <w:szCs w:val="18"/>
    </w:rPr>
  </w:style>
  <w:style w:type="character" w:styleId="WW8Num7z1">
    <w:name w:val="WW8Num7z1"/>
    <w:qFormat/>
    <w:rPr>
      <w:rFonts w:ascii="Arial" w:hAnsi="Arial" w:cs="Arial"/>
      <w:sz w:val="18"/>
      <w:szCs w:val="18"/>
      <w:lang w:eastAsia="hi-I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Arial" w:hAnsi="Arial" w:cs="Arial"/>
      <w:sz w:val="18"/>
      <w:szCs w:val="18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efaultParagraphFont">
    <w:name w:val="Default Paragraph Font"/>
    <w:qFormat/>
    <w:rPr/>
  </w:style>
  <w:style w:type="character" w:styleId="WW8Num3z2">
    <w:name w:val="WW8Num3z2"/>
    <w:qFormat/>
    <w:rPr>
      <w:rFonts w:cs="Arial"/>
    </w:rPr>
  </w:style>
  <w:style w:type="character" w:styleId="WW8Num6z2">
    <w:name w:val="WW8Num6z2"/>
    <w:qFormat/>
    <w:rPr>
      <w:rFonts w:cs="Arial"/>
    </w:rPr>
  </w:style>
  <w:style w:type="character" w:styleId="NzevChar">
    <w:name w:val="Název Char"/>
    <w:basedOn w:val="DefaultParagraphFont"/>
    <w:qFormat/>
    <w:rPr/>
  </w:style>
  <w:style w:type="character" w:styleId="Nadpis1Char">
    <w:name w:val="Nadpis 1 Char"/>
    <w:basedOn w:val="DefaultParagraphFont"/>
    <w:qFormat/>
    <w:rPr/>
  </w:style>
  <w:style w:type="character" w:styleId="TextbublinyChar">
    <w:name w:val="Text bubliny Char"/>
    <w:basedOn w:val="DefaultParagraphFont"/>
    <w:qFormat/>
    <w:rPr/>
  </w:style>
  <w:style w:type="character" w:styleId="TextkomenteChar">
    <w:name w:val="Text komentáře Char"/>
    <w:qFormat/>
    <w:rPr>
      <w:sz w:val="20"/>
      <w:szCs w:val="20"/>
    </w:rPr>
  </w:style>
  <w:style w:type="character" w:styleId="CommentReference1">
    <w:name w:val="Comment Reference1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sz w:val="24"/>
      <w:szCs w:val="24"/>
    </w:rPr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Heading3Char">
    <w:name w:val="Heading 3 Char"/>
    <w:basedOn w:val="DefaultParagraphFont"/>
    <w:qFormat/>
    <w:rPr/>
  </w:style>
  <w:style w:type="character" w:styleId="HTMLVariable">
    <w:name w:val="HTML Variable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Pagenumber">
    <w:name w:val="page number"/>
    <w:basedOn w:val="DefaultParagraphFont"/>
    <w:qFormat/>
    <w:rPr/>
  </w:style>
  <w:style w:type="character" w:styleId="Internetovodkaz">
    <w:name w:val="Internetový odkaz"/>
    <w:basedOn w:val="DefaultParagraphFont"/>
    <w:rPr>
      <w:color w:val="000080"/>
      <w:u w:val="single"/>
      <w:lang w:val="zxx" w:eastAsia="zxx" w:bidi="zxx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numPr>
        <w:ilvl w:val="0"/>
        <w:numId w:val="0"/>
      </w:numPr>
      <w:spacing w:before="240" w:after="120"/>
      <w:ind w:left="0" w:right="0" w:hanging="0"/>
    </w:pPr>
    <w:rPr>
      <w:rFonts w:ascii="Arial" w:hAnsi="Arial" w:eastAsia="Microsoft YaHei" w:cs="Mangal"/>
      <w:sz w:val="28"/>
      <w:szCs w:val="28"/>
    </w:rPr>
  </w:style>
  <w:style w:type="paragraph" w:styleId="Tlotextu">
    <w:name w:val="Body Text"/>
    <w:basedOn w:val="Normal"/>
    <w:pPr>
      <w:numPr>
        <w:ilvl w:val="0"/>
        <w:numId w:val="0"/>
      </w:numPr>
      <w:spacing w:before="0" w:after="120"/>
      <w:ind w:left="0" w:right="0" w:hanging="0"/>
    </w:pPr>
    <w:rPr/>
  </w:style>
  <w:style w:type="paragraph" w:styleId="Seznam">
    <w:name w:val="List"/>
    <w:basedOn w:val="Tlotextu"/>
    <w:pPr>
      <w:numPr>
        <w:ilvl w:val="0"/>
        <w:numId w:val="0"/>
      </w:numPr>
      <w:ind w:left="0" w:right="0" w:hanging="0"/>
    </w:pPr>
    <w:rPr>
      <w:rFonts w:cs="Arial"/>
    </w:rPr>
  </w:style>
  <w:style w:type="paragraph" w:styleId="Popisek">
    <w:name w:val="Caption"/>
    <w:basedOn w:val="Normal"/>
    <w:qFormat/>
    <w:pPr>
      <w:numPr>
        <w:ilvl w:val="0"/>
        <w:numId w:val="0"/>
      </w:numPr>
      <w:suppressLineNumbers/>
      <w:spacing w:before="120" w:after="120"/>
      <w:ind w:left="0" w:right="0" w:hanging="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numPr>
        <w:ilvl w:val="0"/>
        <w:numId w:val="0"/>
      </w:numPr>
      <w:suppressLineNumbers/>
      <w:ind w:left="0" w:right="0" w:hanging="0"/>
    </w:pPr>
    <w:rPr>
      <w:rFonts w:cs="Arial"/>
    </w:rPr>
  </w:style>
  <w:style w:type="paragraph" w:styleId="Nzev">
    <w:name w:val="Title"/>
    <w:basedOn w:val="Normal"/>
    <w:next w:val="Podtitul"/>
    <w:qFormat/>
    <w:pPr>
      <w:widowControl w:val="false"/>
      <w:numPr>
        <w:ilvl w:val="0"/>
        <w:numId w:val="0"/>
      </w:numPr>
      <w:spacing w:lineRule="atLeast" w:line="100" w:before="240" w:after="60"/>
      <w:ind w:left="0" w:right="0" w:hanging="0"/>
      <w:jc w:val="center"/>
    </w:pPr>
    <w:rPr>
      <w:b/>
      <w:bCs/>
      <w:sz w:val="36"/>
      <w:szCs w:val="36"/>
    </w:rPr>
  </w:style>
  <w:style w:type="paragraph" w:styleId="Podtitul">
    <w:name w:val="Subtitle"/>
    <w:basedOn w:val="Nadpis"/>
    <w:next w:val="Tlotextu"/>
    <w:qFormat/>
    <w:pPr>
      <w:numPr>
        <w:ilvl w:val="0"/>
        <w:numId w:val="0"/>
      </w:numPr>
      <w:ind w:left="0" w:right="0" w:hanging="0"/>
      <w:jc w:val="center"/>
    </w:pPr>
    <w:rPr>
      <w:i/>
      <w:iCs/>
      <w:sz w:val="28"/>
      <w:szCs w:val="28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left="0" w:right="0" w:hanging="0"/>
    </w:pPr>
    <w:rPr/>
  </w:style>
  <w:style w:type="paragraph" w:styleId="CommentText1">
    <w:name w:val="Comment Text1"/>
    <w:basedOn w:val="Normal"/>
    <w:qFormat/>
    <w:pPr>
      <w:numPr>
        <w:ilvl w:val="0"/>
        <w:numId w:val="0"/>
      </w:numPr>
      <w:spacing w:lineRule="atLeast" w:line="100"/>
      <w:ind w:left="0" w:right="0" w:hanging="0"/>
    </w:pPr>
    <w:rPr/>
  </w:style>
  <w:style w:type="paragraph" w:styleId="Annotationtext">
    <w:name w:val="annotation text"/>
    <w:basedOn w:val="Normal"/>
    <w:qFormat/>
    <w:pPr>
      <w:numPr>
        <w:ilvl w:val="0"/>
        <w:numId w:val="0"/>
      </w:numPr>
      <w:spacing w:lineRule="atLeast" w:line="100"/>
      <w:ind w:left="0" w:right="0" w:hanging="0"/>
    </w:pPr>
    <w:rPr>
      <w:sz w:val="24"/>
      <w:szCs w:val="24"/>
    </w:rPr>
  </w:style>
  <w:style w:type="paragraph" w:styleId="L7">
    <w:name w:val="l7"/>
    <w:basedOn w:val="Normal"/>
    <w:qFormat/>
    <w:pPr>
      <w:numPr>
        <w:ilvl w:val="0"/>
        <w:numId w:val="0"/>
      </w:numPr>
      <w:suppressAutoHyphens w:val="false"/>
      <w:spacing w:lineRule="atLeast" w:line="100" w:before="100" w:after="100"/>
      <w:ind w:left="0" w:right="0" w:hanging="0"/>
    </w:pPr>
    <w:rPr/>
  </w:style>
  <w:style w:type="paragraph" w:styleId="L8">
    <w:name w:val="l8"/>
    <w:basedOn w:val="Normal"/>
    <w:qFormat/>
    <w:pPr>
      <w:numPr>
        <w:ilvl w:val="0"/>
        <w:numId w:val="0"/>
      </w:numPr>
      <w:suppressAutoHyphens w:val="false"/>
      <w:spacing w:lineRule="atLeast" w:line="100" w:before="100" w:after="100"/>
      <w:ind w:left="0" w:right="0" w:hanging="0"/>
    </w:pPr>
    <w:rPr/>
  </w:style>
  <w:style w:type="paragraph" w:styleId="L5">
    <w:name w:val="l5"/>
    <w:basedOn w:val="Normal"/>
    <w:qFormat/>
    <w:pPr>
      <w:numPr>
        <w:ilvl w:val="0"/>
        <w:numId w:val="0"/>
      </w:numPr>
      <w:suppressAutoHyphens w:val="false"/>
      <w:spacing w:lineRule="atLeast" w:line="100" w:before="100" w:after="100"/>
      <w:ind w:left="0" w:right="0" w:hanging="0"/>
    </w:pPr>
    <w:rPr/>
  </w:style>
  <w:style w:type="paragraph" w:styleId="L6">
    <w:name w:val="l6"/>
    <w:basedOn w:val="Normal"/>
    <w:qFormat/>
    <w:pPr>
      <w:numPr>
        <w:ilvl w:val="0"/>
        <w:numId w:val="0"/>
      </w:numPr>
      <w:suppressAutoHyphens w:val="false"/>
      <w:spacing w:lineRule="atLeast" w:line="100" w:before="100" w:after="100"/>
      <w:ind w:left="0" w:right="0" w:hanging="0"/>
    </w:pPr>
    <w:rPr/>
  </w:style>
  <w:style w:type="paragraph" w:styleId="Import7">
    <w:name w:val="Import 7"/>
    <w:basedOn w:val="Normal"/>
    <w:qFormat/>
    <w:pPr>
      <w:widowControl w:val="false"/>
      <w:numPr>
        <w:ilvl w:val="0"/>
        <w:numId w:val="0"/>
      </w:numPr>
      <w:tabs>
        <w:tab w:val="clear" w:pos="708"/>
        <w:tab w:val="left" w:pos="7344" w:leader="none"/>
      </w:tabs>
      <w:suppressAutoHyphens w:val="false"/>
      <w:spacing w:lineRule="auto" w:line="216" w:before="0" w:after="0"/>
      <w:ind w:left="2304" w:right="0" w:hanging="0"/>
    </w:pPr>
    <w:rPr/>
  </w:style>
  <w:style w:type="paragraph" w:styleId="Text">
    <w:name w:val="Text"/>
    <w:basedOn w:val="Popisek"/>
    <w:qFormat/>
    <w:pPr>
      <w:numPr>
        <w:ilvl w:val="0"/>
        <w:numId w:val="0"/>
      </w:numPr>
      <w:ind w:left="0" w:right="0" w:hanging="0"/>
    </w:pPr>
    <w:rPr/>
  </w:style>
  <w:style w:type="paragraph" w:styleId="Import22">
    <w:name w:val="Import 22"/>
    <w:basedOn w:val="Normal"/>
    <w:qFormat/>
    <w:pPr>
      <w:widowControl w:val="false"/>
      <w:numPr>
        <w:ilvl w:val="0"/>
        <w:numId w:val="0"/>
      </w:numPr>
      <w:tabs>
        <w:tab w:val="clear" w:pos="708"/>
        <w:tab w:val="left" w:pos="1152" w:leader="none"/>
        <w:tab w:val="left" w:pos="3744" w:leader="none"/>
        <w:tab w:val="left" w:pos="6912" w:leader="none"/>
        <w:tab w:val="left" w:pos="9792" w:leader="none"/>
      </w:tabs>
      <w:suppressAutoHyphens w:val="false"/>
      <w:spacing w:lineRule="auto" w:line="216" w:before="0" w:after="0"/>
      <w:ind w:left="0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LibreOffice/7.3.2.2$Windows_X86_64 LibreOffice_project/49f2b1bff42cfccbd8f788c8dc32c1c309559be0</Application>
  <AppVersion>15.0000</AppVersion>
  <Pages>4</Pages>
  <Words>2318</Words>
  <Characters>14034</Characters>
  <CharactersWithSpaces>16287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2019-12-09T20:39:00Z</dcterms:created>
  <dc:creator>Radek Šach</dc:creator>
  <dc:description/>
  <dc:language>cs-CZ</dc:language>
  <cp:lastModifiedBy/>
  <cp:lastPrinted>2025-01-14T12:07:25Z</cp:lastPrinted>
  <dcterms:modified xsi:type="dcterms:W3CDTF">2025-01-14T15:40:08Z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