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BE" w:rsidRDefault="00CC53BE" w:rsidP="00750B29">
      <w:pPr>
        <w:rPr>
          <w:rFonts w:ascii="Calibri" w:hAnsi="Calibri"/>
        </w:rPr>
      </w:pPr>
      <w:r w:rsidRPr="00750B29">
        <w:rPr>
          <w:rFonts w:ascii="Calibri" w:hAnsi="Calibri"/>
        </w:rPr>
        <w:t>KS    659/2025 FIN</w:t>
      </w:r>
    </w:p>
    <w:p w:rsidR="00CC53BE" w:rsidRDefault="00CC53BE" w:rsidP="00750B29">
      <w:pPr>
        <w:rPr>
          <w:rFonts w:ascii="Calibri" w:hAnsi="Calibri"/>
        </w:rPr>
      </w:pPr>
      <w:r w:rsidRPr="00750B29">
        <w:rPr>
          <w:rFonts w:ascii="Calibri" w:hAnsi="Calibri"/>
        </w:rPr>
        <w:t>MUNAC  2384/2025</w:t>
      </w:r>
    </w:p>
    <w:p w:rsidR="00CC53BE" w:rsidRPr="00750B29" w:rsidRDefault="00CC53BE" w:rsidP="00750B29">
      <w:pPr>
        <w:rPr>
          <w:rFonts w:ascii="Calibri" w:hAnsi="Calibri"/>
        </w:rPr>
      </w:pPr>
      <w:r w:rsidRPr="00750B29">
        <w:rPr>
          <w:rFonts w:ascii="Calibri" w:hAnsi="Calibri"/>
        </w:rPr>
        <w:t>MUNAX013TXRR</w:t>
      </w:r>
    </w:p>
    <w:p w:rsidR="00CC53BE" w:rsidRDefault="00CC53BE" w:rsidP="005840B6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SMLOUVA</w:t>
      </w:r>
    </w:p>
    <w:p w:rsidR="00CC53BE" w:rsidRDefault="00CC53BE" w:rsidP="005840B6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O POSKYTNUTÍ DOTACE Z ROZPOČTU MĚSTA NÁCHODA</w:t>
      </w:r>
    </w:p>
    <w:p w:rsidR="00CC53BE" w:rsidRPr="00DB35F2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C53BE" w:rsidRPr="00DB35F2" w:rsidRDefault="00CC53BE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15/2025</w:t>
      </w:r>
    </w:p>
    <w:p w:rsidR="00CC53BE" w:rsidRPr="00DB35F2" w:rsidRDefault="00CC53BE" w:rsidP="00E7054C">
      <w:pPr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CC53BE" w:rsidRPr="00DB35F2" w:rsidRDefault="00CC53BE" w:rsidP="00E7054C">
      <w:pPr>
        <w:jc w:val="center"/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pStyle w:val="Heading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CC53BE" w:rsidRPr="00DB35F2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C53BE" w:rsidRPr="00DB35F2" w:rsidTr="00B94D3F">
        <w:trPr>
          <w:trHeight w:val="416"/>
        </w:trPr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CC53BE" w:rsidRPr="00DB35F2" w:rsidTr="00B94D3F">
        <w:trPr>
          <w:trHeight w:val="355"/>
        </w:trPr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Jan Birke, starosta</w:t>
            </w:r>
          </w:p>
        </w:tc>
      </w:tr>
      <w:tr w:rsidR="00CC53BE" w:rsidRPr="00DB35F2" w:rsidTr="00B94D3F">
        <w:trPr>
          <w:trHeight w:val="380"/>
        </w:trPr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C53BE" w:rsidRPr="00DB35F2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CC53BE" w:rsidRPr="00DB35F2" w:rsidTr="00B94D3F">
        <w:trPr>
          <w:trHeight w:val="348"/>
        </w:trPr>
        <w:tc>
          <w:tcPr>
            <w:tcW w:w="4606" w:type="dxa"/>
          </w:tcPr>
          <w:p w:rsidR="00CC53BE" w:rsidRPr="00553858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CC53BE" w:rsidRPr="00553858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CC53BE" w:rsidRPr="00DB35F2" w:rsidTr="00B94D3F">
        <w:trPr>
          <w:trHeight w:val="358"/>
        </w:trPr>
        <w:tc>
          <w:tcPr>
            <w:tcW w:w="4606" w:type="dxa"/>
          </w:tcPr>
          <w:p w:rsidR="00CC53BE" w:rsidRPr="00553858" w:rsidRDefault="00CC53B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C53BE" w:rsidRPr="00553858" w:rsidRDefault="00CC53BE" w:rsidP="0063032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:rsidR="00CC53BE" w:rsidRPr="00DB35F2" w:rsidRDefault="00CC53BE" w:rsidP="00E7054C">
      <w:pPr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CC53BE" w:rsidRPr="00DB35F2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CC53BE" w:rsidRPr="00DB35F2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C53BE" w:rsidRPr="00365DCA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C53BE" w:rsidRPr="00365DCA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C53BE" w:rsidRPr="00F50247" w:rsidRDefault="00CC53BE" w:rsidP="002F79FC">
      <w:pPr>
        <w:jc w:val="center"/>
        <w:rPr>
          <w:rFonts w:ascii="Calibri" w:hAnsi="Calibri"/>
          <w:b/>
          <w:sz w:val="24"/>
          <w:szCs w:val="24"/>
        </w:rPr>
      </w:pPr>
      <w:r w:rsidRPr="00F50247">
        <w:rPr>
          <w:rFonts w:ascii="Calibri" w:hAnsi="Calibri"/>
          <w:b/>
          <w:sz w:val="24"/>
          <w:szCs w:val="24"/>
        </w:rPr>
        <w:t>Sportovní kuželkářský klub Náchod, z.s.</w:t>
      </w:r>
    </w:p>
    <w:p w:rsidR="00CC53BE" w:rsidRPr="00F50247" w:rsidRDefault="00CC53BE" w:rsidP="002F79FC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C53BE" w:rsidRPr="00F50247" w:rsidTr="0020294E">
        <w:trPr>
          <w:trHeight w:val="401"/>
        </w:trPr>
        <w:tc>
          <w:tcPr>
            <w:tcW w:w="4606" w:type="dxa"/>
          </w:tcPr>
          <w:p w:rsidR="00CC53BE" w:rsidRPr="00F50247" w:rsidRDefault="00CC53BE" w:rsidP="0020294E">
            <w:pPr>
              <w:tabs>
                <w:tab w:val="center" w:pos="2233"/>
              </w:tabs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se sídlem:</w:t>
            </w:r>
            <w:r w:rsidRPr="00F50247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Tyršova 49, 547 01 Náchod</w:t>
            </w:r>
          </w:p>
        </w:tc>
      </w:tr>
      <w:tr w:rsidR="00CC53BE" w:rsidRPr="00F50247" w:rsidTr="0020294E">
        <w:trPr>
          <w:trHeight w:val="370"/>
        </w:trPr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CC53BE" w:rsidRPr="009150F5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 xml:space="preserve">Tomáš Majer, </w:t>
            </w:r>
            <w:r w:rsidRPr="009150F5">
              <w:rPr>
                <w:rFonts w:ascii="Calibri" w:hAnsi="Calibri"/>
                <w:sz w:val="24"/>
                <w:szCs w:val="24"/>
              </w:rPr>
              <w:t xml:space="preserve">předseda a </w:t>
            </w:r>
          </w:p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9150F5">
              <w:rPr>
                <w:rFonts w:ascii="Calibri" w:hAnsi="Calibri"/>
                <w:sz w:val="24"/>
                <w:szCs w:val="24"/>
              </w:rPr>
              <w:t>Milena Mankovecká, členka výboru</w:t>
            </w:r>
          </w:p>
        </w:tc>
      </w:tr>
      <w:tr w:rsidR="00CC53BE" w:rsidRPr="00F50247" w:rsidTr="0020294E">
        <w:trPr>
          <w:trHeight w:val="352"/>
        </w:trPr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46501738</w:t>
            </w:r>
          </w:p>
        </w:tc>
      </w:tr>
      <w:tr w:rsidR="00CC53BE" w:rsidRPr="00F50247" w:rsidTr="0020294E">
        <w:trPr>
          <w:trHeight w:val="348"/>
        </w:trPr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CC53BE" w:rsidRPr="00F50247" w:rsidTr="0020294E">
        <w:trPr>
          <w:trHeight w:val="372"/>
        </w:trPr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č. účtu:</w:t>
            </w:r>
            <w:r w:rsidRPr="00F50247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C53BE" w:rsidRPr="00F50247" w:rsidRDefault="00CC53BE" w:rsidP="0020294E">
            <w:pPr>
              <w:rPr>
                <w:rFonts w:ascii="Calibri" w:hAnsi="Calibri"/>
                <w:sz w:val="24"/>
                <w:szCs w:val="24"/>
              </w:rPr>
            </w:pPr>
            <w:r w:rsidRPr="00F50247">
              <w:rPr>
                <w:rFonts w:ascii="Calibri" w:hAnsi="Calibri"/>
                <w:sz w:val="24"/>
                <w:szCs w:val="24"/>
              </w:rPr>
              <w:t>275386993/0300</w:t>
            </w:r>
          </w:p>
        </w:tc>
      </w:tr>
    </w:tbl>
    <w:p w:rsidR="00CC53BE" w:rsidRPr="001A1170" w:rsidRDefault="00CC53BE" w:rsidP="0017466A">
      <w:pPr>
        <w:rPr>
          <w:rFonts w:ascii="Calibri" w:hAnsi="Calibri"/>
          <w:sz w:val="24"/>
          <w:szCs w:val="24"/>
        </w:rPr>
      </w:pPr>
    </w:p>
    <w:p w:rsidR="00CC53BE" w:rsidRPr="001A1170" w:rsidRDefault="00CC53BE" w:rsidP="0017466A">
      <w:pPr>
        <w:rPr>
          <w:rFonts w:ascii="Calibri" w:hAnsi="Calibri"/>
          <w:sz w:val="24"/>
          <w:szCs w:val="24"/>
        </w:rPr>
      </w:pPr>
      <w:r w:rsidRPr="001A1170">
        <w:rPr>
          <w:rFonts w:ascii="Calibri" w:hAnsi="Calibri"/>
          <w:sz w:val="24"/>
          <w:szCs w:val="24"/>
        </w:rPr>
        <w:t>(dále též jako „Příjemce“)</w:t>
      </w:r>
    </w:p>
    <w:p w:rsidR="00CC53BE" w:rsidRPr="00DB35F2" w:rsidRDefault="00CC53BE" w:rsidP="00E7054C">
      <w:pPr>
        <w:rPr>
          <w:rFonts w:ascii="Calibri" w:hAnsi="Calibri" w:cs="Calibri"/>
          <w:b/>
          <w:sz w:val="24"/>
          <w:szCs w:val="24"/>
        </w:rPr>
      </w:pPr>
    </w:p>
    <w:p w:rsidR="00CC53BE" w:rsidRPr="00365DCA" w:rsidRDefault="00CC53BE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CC53BE" w:rsidRPr="00365DCA" w:rsidRDefault="00CC53BE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CC53BE" w:rsidRPr="00BE2105" w:rsidRDefault="00CC53B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CC53BE" w:rsidRPr="0017466A" w:rsidRDefault="00CC53BE" w:rsidP="0017466A">
      <w:pPr>
        <w:pStyle w:val="ListParagraph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17466A">
        <w:rPr>
          <w:rFonts w:ascii="Calibri" w:hAnsi="Calibri"/>
          <w:sz w:val="24"/>
          <w:szCs w:val="24"/>
        </w:rPr>
        <w:t xml:space="preserve">Poskytnutá dotace je účelově určena na krytí nákladů sportovní činnosti. Dotace není určena na </w:t>
      </w:r>
      <w:r w:rsidRPr="0017466A">
        <w:rPr>
          <w:rFonts w:ascii="Calibri" w:hAnsi="Calibri"/>
          <w:b/>
          <w:sz w:val="24"/>
          <w:szCs w:val="24"/>
        </w:rPr>
        <w:t>mzdy hráčů a funkcionářů a nákup hráčů.</w:t>
      </w:r>
    </w:p>
    <w:p w:rsidR="00CC53BE" w:rsidRPr="00DB35F2" w:rsidRDefault="00CC53BE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Stanoveného účelu bude dosaženo do 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CC53BE" w:rsidRPr="00DB35F2" w:rsidRDefault="00CC53BE" w:rsidP="00E7054C">
      <w:pPr>
        <w:jc w:val="both"/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 do 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CC53BE" w:rsidRPr="00DB35F2" w:rsidRDefault="00CC53B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CC53BE" w:rsidRPr="00DB35F2" w:rsidRDefault="00CC53B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CC53BE" w:rsidRPr="00510282" w:rsidRDefault="00CC53BE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CC53BE" w:rsidRPr="00BC6272" w:rsidRDefault="00CC53BE" w:rsidP="007001A2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CC53BE" w:rsidRPr="00BC6272" w:rsidRDefault="00CC53BE" w:rsidP="007001A2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CC53BE" w:rsidRPr="00BC6272" w:rsidRDefault="00CC53BE" w:rsidP="007001A2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CC53BE" w:rsidRPr="00BC6272" w:rsidRDefault="00CC53BE" w:rsidP="007001A2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100.000</w:t>
      </w:r>
      <w:r w:rsidRPr="00BC6272">
        <w:rPr>
          <w:rFonts w:ascii="Calibri" w:hAnsi="Calibri"/>
          <w:b/>
          <w:sz w:val="24"/>
          <w:szCs w:val="24"/>
        </w:rPr>
        <w:t>,-</w:t>
      </w:r>
      <w:r w:rsidRPr="00BC6272">
        <w:rPr>
          <w:rFonts w:ascii="Calibri" w:hAnsi="Calibri"/>
          <w:sz w:val="24"/>
          <w:szCs w:val="24"/>
        </w:rPr>
        <w:t xml:space="preserve">  </w:t>
      </w:r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 – </w:t>
      </w:r>
      <w:r>
        <w:rPr>
          <w:rFonts w:ascii="Calibri" w:hAnsi="Calibri"/>
          <w:sz w:val="24"/>
          <w:szCs w:val="24"/>
        </w:rPr>
        <w:t>Jednostotisíc</w:t>
      </w:r>
      <w:r w:rsidRPr="0027544A">
        <w:rPr>
          <w:rFonts w:ascii="Calibri" w:hAnsi="Calibri" w:cs="Calibri"/>
          <w:sz w:val="24"/>
          <w:szCs w:val="24"/>
        </w:rPr>
        <w:t>korunčeských</w:t>
      </w:r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CC53BE" w:rsidRDefault="00CC53BE" w:rsidP="007001A2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100.000,- Kč poukázat jednorázově bankovním převodem na účet Příjemce uvedený v záhlaví smlouvy, a to nejpozději do dvou měsíců od nabytí účinnosti této smlouvy. </w:t>
      </w:r>
    </w:p>
    <w:p w:rsidR="00CC53BE" w:rsidRPr="00113FC0" w:rsidRDefault="00CC53BE" w:rsidP="00E7054C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:rsidR="00CC53BE" w:rsidRPr="00DB35F2" w:rsidRDefault="00CC53BE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:rsidR="00CC53BE" w:rsidRDefault="00CC53BE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CC53BE" w:rsidRPr="00DB35F2" w:rsidRDefault="00CC53BE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CC53BE" w:rsidRPr="00DB35F2" w:rsidRDefault="00CC53B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CC53BE" w:rsidRPr="00DB35F2" w:rsidRDefault="00CC53B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CC53BE" w:rsidRPr="00DB35F2" w:rsidRDefault="00CC53B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Příjemce, který účtuje podvojnými zápisy v souladu se zákonem č. 563/1991 Sb., je povinen vést evidenci o čerpání jednotlivých dotací poskytnutých z rozpočtu města Náchoda v účetnictví odděleně. Náklady pokryté z prostředků dotace města Náchoda budou označeny samostatným střediskem (zakázkou) nebo analytikou a v textu názvem Poskytovatele, aby v případě vícezdrojového financování bylo v účetnictví jednoznačně a nezaměnitelně určeno, co je pokryto z prostředků města Náchoda.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CC53BE" w:rsidRPr="00DB35F2" w:rsidRDefault="00CC53BE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CC53BE" w:rsidRPr="00DB35F2" w:rsidRDefault="00CC53BE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CC53BE" w:rsidRPr="00DB35F2" w:rsidRDefault="00CC53B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Vyplněnou tabulku, kterou obdrží při podpisu smlouvy a která tvoří Přílohu č. 1 této smlouvy. Tabulka vyúčtování dotace je též zveřejněna na webových stránkách města Náchoda.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Náchoda v jednotlivých měsících na analytickém účtu 521 xxx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CC53BE" w:rsidRPr="00DB35F2" w:rsidRDefault="00CC53B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CC53BE" w:rsidRPr="00427264" w:rsidRDefault="00CC53B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CC53BE" w:rsidRDefault="00CC53BE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</w:t>
      </w:r>
      <w:r>
        <w:rPr>
          <w:rFonts w:ascii="Calibri" w:hAnsi="Calibri"/>
          <w:sz w:val="24"/>
          <w:szCs w:val="24"/>
        </w:rPr>
        <w:t>2025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CC53BE" w:rsidRDefault="00CC53BE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CC53BE" w:rsidRPr="00427264" w:rsidRDefault="00CC53BE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CC53BE" w:rsidRPr="00DB35F2" w:rsidRDefault="00CC53BE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CC53BE" w:rsidRPr="00DB35F2" w:rsidRDefault="00CC53BE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CC53BE" w:rsidRPr="00DB35F2" w:rsidRDefault="00CC53BE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CC53BE" w:rsidRPr="00DB35F2" w:rsidRDefault="00CC53BE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CC53BE" w:rsidRPr="00DB35F2" w:rsidRDefault="00CC53BE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CC53BE" w:rsidRPr="00DB35F2" w:rsidRDefault="00CC53B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CC53BE" w:rsidRPr="00DB35F2" w:rsidRDefault="00CC53B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CC53BE" w:rsidRPr="00510282" w:rsidRDefault="00CC53B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CC53BE" w:rsidRPr="00DB35F2" w:rsidRDefault="00CC53BE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CC53BE" w:rsidRPr="00DB35F2" w:rsidRDefault="00CC53BE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CC53BE" w:rsidRPr="00DB35F2" w:rsidRDefault="00CC53B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CC53BE" w:rsidRPr="00DB35F2" w:rsidRDefault="00CC53B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CC53BE" w:rsidRPr="00DB35F2" w:rsidRDefault="00CC53B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CC53BE" w:rsidRPr="00DB35F2" w:rsidRDefault="00CC53B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CC53BE" w:rsidRPr="00DB35F2" w:rsidRDefault="00CC53BE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CC53BE" w:rsidRPr="00DB35F2" w:rsidRDefault="00CC53BE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CC53BE" w:rsidRPr="00C34BF4" w:rsidRDefault="00CC53B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CC53BE" w:rsidRPr="00C34BF4" w:rsidRDefault="00CC53B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CC53BE" w:rsidRPr="00C34BF4" w:rsidRDefault="00CC53B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CC53BE" w:rsidRPr="00C34BF4" w:rsidRDefault="00CC53BE" w:rsidP="002E51BA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CC53BE" w:rsidRPr="00C34BF4" w:rsidRDefault="00CC53BE" w:rsidP="002E51BA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159 a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CC53BE" w:rsidRPr="00C34BF4" w:rsidRDefault="00CC53BE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CC53BE" w:rsidRPr="000C4AA7" w:rsidRDefault="00CC53BE" w:rsidP="002E51BA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CC53BE" w:rsidRPr="00DB35F2" w:rsidRDefault="00CC53BE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CC53BE" w:rsidRPr="00DB35F2" w:rsidRDefault="00CC53BE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CC53BE" w:rsidRDefault="00CC53BE" w:rsidP="0092256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r>
        <w:rPr>
          <w:rFonts w:ascii="Calibri" w:hAnsi="Calibri" w:cs="Calibri"/>
          <w:sz w:val="24"/>
          <w:szCs w:val="24"/>
        </w:rPr>
        <w:t>Náchoda na svém 17. zasedání konaném dne 09.12.2024 usnesením č. II.ch/.</w:t>
      </w:r>
    </w:p>
    <w:p w:rsidR="00CC53BE" w:rsidRDefault="00CC53B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CC53BE" w:rsidRPr="00DB35F2" w:rsidRDefault="00CC53B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CC53BE" w:rsidRPr="00DB35F2" w:rsidRDefault="00CC53B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CC53BE" w:rsidRPr="00D8114D" w:rsidRDefault="00CC53BE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07.01.2025</w:t>
      </w:r>
      <w:r>
        <w:rPr>
          <w:rFonts w:ascii="Calibri" w:hAnsi="Calibri" w:cs="Calibri"/>
          <w:sz w:val="24"/>
          <w:szCs w:val="24"/>
        </w:rPr>
        <w:tab/>
        <w:t xml:space="preserve">                         </w:t>
      </w:r>
      <w:bookmarkStart w:id="4" w:name="_GoBack"/>
      <w:bookmarkEnd w:id="4"/>
      <w:r>
        <w:rPr>
          <w:rFonts w:ascii="Calibri" w:hAnsi="Calibri" w:cs="Calibri"/>
          <w:sz w:val="24"/>
          <w:szCs w:val="24"/>
        </w:rPr>
        <w:t xml:space="preserve">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>
        <w:rPr>
          <w:rFonts w:ascii="Calibri" w:hAnsi="Calibri" w:cs="Calibri"/>
          <w:sz w:val="24"/>
          <w:szCs w:val="24"/>
        </w:rPr>
        <w:t>14.01.2025</w:t>
      </w:r>
    </w:p>
    <w:p w:rsidR="00CC53BE" w:rsidRPr="00D8114D" w:rsidRDefault="00CC53BE" w:rsidP="00E7054C">
      <w:pPr>
        <w:rPr>
          <w:rFonts w:ascii="Calibri" w:hAnsi="Calibri" w:cs="Calibri"/>
          <w:sz w:val="24"/>
          <w:szCs w:val="24"/>
        </w:rPr>
      </w:pPr>
    </w:p>
    <w:p w:rsidR="00CC53BE" w:rsidRDefault="00CC53BE" w:rsidP="00E7054C">
      <w:pPr>
        <w:rPr>
          <w:rFonts w:ascii="Calibri" w:hAnsi="Calibri" w:cs="Calibri"/>
          <w:sz w:val="24"/>
          <w:szCs w:val="24"/>
        </w:rPr>
      </w:pPr>
    </w:p>
    <w:p w:rsidR="00CC53BE" w:rsidRPr="00D8114D" w:rsidRDefault="00CC53BE" w:rsidP="00E7054C">
      <w:pPr>
        <w:rPr>
          <w:rFonts w:ascii="Calibri" w:hAnsi="Calibri" w:cs="Calibri"/>
          <w:sz w:val="24"/>
          <w:szCs w:val="24"/>
        </w:rPr>
      </w:pPr>
    </w:p>
    <w:p w:rsidR="00CC53BE" w:rsidRPr="00D8114D" w:rsidRDefault="00CC53BE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CC53BE" w:rsidRPr="00E31389" w:rsidRDefault="00CC53BE" w:rsidP="00174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E31389">
        <w:rPr>
          <w:rFonts w:ascii="Calibri" w:hAnsi="Calibri"/>
          <w:b/>
          <w:sz w:val="24"/>
          <w:szCs w:val="24"/>
        </w:rPr>
        <w:t>Příjemce</w:t>
      </w:r>
      <w:r w:rsidRPr="00E31389">
        <w:rPr>
          <w:rFonts w:ascii="Calibri" w:hAnsi="Calibri"/>
          <w:b/>
          <w:sz w:val="24"/>
          <w:szCs w:val="24"/>
        </w:rPr>
        <w:tab/>
      </w:r>
    </w:p>
    <w:p w:rsidR="00CC53BE" w:rsidRPr="00F50247" w:rsidRDefault="00CC53BE" w:rsidP="002F79F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F50247">
        <w:rPr>
          <w:rFonts w:ascii="Calibri" w:hAnsi="Calibri"/>
          <w:sz w:val="24"/>
          <w:szCs w:val="24"/>
        </w:rPr>
        <w:t>Sportovní kuželkářský klub Náchod, z.s.</w:t>
      </w:r>
    </w:p>
    <w:p w:rsidR="00CC53BE" w:rsidRPr="00F50247" w:rsidRDefault="00CC53BE" w:rsidP="002F79FC">
      <w:pPr>
        <w:rPr>
          <w:rFonts w:ascii="Calibri" w:hAnsi="Calibri"/>
          <w:sz w:val="24"/>
          <w:szCs w:val="24"/>
        </w:rPr>
      </w:pPr>
      <w:r w:rsidRPr="00F50247">
        <w:rPr>
          <w:rFonts w:ascii="Calibri" w:hAnsi="Calibri"/>
          <w:sz w:val="24"/>
          <w:szCs w:val="24"/>
        </w:rPr>
        <w:t xml:space="preserve">zast. starostou Janem Birke                             zast. Tomášem Majerem, předsedou a </w:t>
      </w:r>
    </w:p>
    <w:p w:rsidR="00CC53BE" w:rsidRPr="00F50247" w:rsidRDefault="00CC53BE" w:rsidP="002F79FC">
      <w:pPr>
        <w:ind w:left="3540" w:firstLine="708"/>
        <w:rPr>
          <w:rFonts w:ascii="Calibri" w:hAnsi="Calibri"/>
          <w:color w:val="FF0000"/>
          <w:sz w:val="24"/>
          <w:szCs w:val="24"/>
        </w:rPr>
      </w:pPr>
      <w:r w:rsidRPr="00F50247">
        <w:rPr>
          <w:rFonts w:ascii="Calibri" w:hAnsi="Calibri"/>
          <w:sz w:val="24"/>
          <w:szCs w:val="24"/>
        </w:rPr>
        <w:t>Milenou Mankoveckou, členkou výboru</w:t>
      </w:r>
    </w:p>
    <w:p w:rsidR="00CC53BE" w:rsidRPr="00E31389" w:rsidRDefault="00CC53BE" w:rsidP="002F79FC">
      <w:pPr>
        <w:rPr>
          <w:rFonts w:ascii="Calibri" w:hAnsi="Calibri"/>
          <w:color w:val="FF0000"/>
          <w:sz w:val="24"/>
          <w:szCs w:val="24"/>
        </w:rPr>
      </w:pPr>
    </w:p>
    <w:p w:rsidR="00CC53BE" w:rsidRPr="00E31389" w:rsidRDefault="00CC53BE" w:rsidP="00143CB8">
      <w:pPr>
        <w:rPr>
          <w:rFonts w:ascii="Calibri" w:hAnsi="Calibri"/>
          <w:color w:val="FF0000"/>
          <w:sz w:val="24"/>
          <w:szCs w:val="24"/>
        </w:rPr>
      </w:pPr>
    </w:p>
    <w:p w:rsidR="00CC53BE" w:rsidRPr="00E31389" w:rsidRDefault="00CC53BE" w:rsidP="00E120B8">
      <w:pPr>
        <w:rPr>
          <w:rFonts w:ascii="Calibri" w:hAnsi="Calibri"/>
          <w:color w:val="FF0000"/>
          <w:sz w:val="24"/>
          <w:szCs w:val="24"/>
        </w:rPr>
      </w:pPr>
    </w:p>
    <w:p w:rsidR="00CC53BE" w:rsidRPr="007C3080" w:rsidRDefault="00CC53BE" w:rsidP="00E7054C">
      <w:pPr>
        <w:keepNext/>
        <w:spacing w:after="120"/>
        <w:jc w:val="both"/>
        <w:rPr>
          <w:sz w:val="24"/>
          <w:szCs w:val="24"/>
        </w:rPr>
      </w:pPr>
    </w:p>
    <w:p w:rsidR="00CC53BE" w:rsidRPr="000D0436" w:rsidRDefault="00CC53BE" w:rsidP="00E7054C"/>
    <w:p w:rsidR="00CC53BE" w:rsidRDefault="00CC53BE" w:rsidP="00E7054C"/>
    <w:p w:rsidR="00CC53BE" w:rsidRDefault="00CC53BE"/>
    <w:sectPr w:rsidR="00CC53BE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BE" w:rsidRDefault="00CC53BE">
      <w:r>
        <w:separator/>
      </w:r>
    </w:p>
  </w:endnote>
  <w:endnote w:type="continuationSeparator" w:id="0">
    <w:p w:rsidR="00CC53BE" w:rsidRDefault="00CC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BE" w:rsidRDefault="00CC53BE" w:rsidP="005D4A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C53BE" w:rsidRDefault="00CC53BE" w:rsidP="005D4A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BE" w:rsidRDefault="00CC53BE">
      <w:r>
        <w:separator/>
      </w:r>
    </w:p>
  </w:footnote>
  <w:footnote w:type="continuationSeparator" w:id="0">
    <w:p w:rsidR="00CC53BE" w:rsidRDefault="00CC5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cs="Times New Roman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eastAsia="Meiryo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eastAsia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4C"/>
    <w:rsid w:val="000B5D77"/>
    <w:rsid w:val="000C4AA7"/>
    <w:rsid w:val="000D0436"/>
    <w:rsid w:val="000F7D24"/>
    <w:rsid w:val="00113FC0"/>
    <w:rsid w:val="001309B5"/>
    <w:rsid w:val="00143CB8"/>
    <w:rsid w:val="0017466A"/>
    <w:rsid w:val="001826D7"/>
    <w:rsid w:val="001A1170"/>
    <w:rsid w:val="0020294E"/>
    <w:rsid w:val="0021248A"/>
    <w:rsid w:val="00254C4F"/>
    <w:rsid w:val="0027544A"/>
    <w:rsid w:val="0028465E"/>
    <w:rsid w:val="002E51BA"/>
    <w:rsid w:val="002F79FC"/>
    <w:rsid w:val="0030667A"/>
    <w:rsid w:val="00365DCA"/>
    <w:rsid w:val="00427264"/>
    <w:rsid w:val="00456F7A"/>
    <w:rsid w:val="00463E86"/>
    <w:rsid w:val="00510282"/>
    <w:rsid w:val="0052355F"/>
    <w:rsid w:val="005375BD"/>
    <w:rsid w:val="00553858"/>
    <w:rsid w:val="005840B6"/>
    <w:rsid w:val="005C351B"/>
    <w:rsid w:val="005D4AE1"/>
    <w:rsid w:val="005F6D8C"/>
    <w:rsid w:val="00630322"/>
    <w:rsid w:val="006368E0"/>
    <w:rsid w:val="006451FF"/>
    <w:rsid w:val="00645915"/>
    <w:rsid w:val="00672599"/>
    <w:rsid w:val="006A4964"/>
    <w:rsid w:val="006A6224"/>
    <w:rsid w:val="006B1B75"/>
    <w:rsid w:val="007001A2"/>
    <w:rsid w:val="00750B29"/>
    <w:rsid w:val="007B446C"/>
    <w:rsid w:val="007C3080"/>
    <w:rsid w:val="00875E93"/>
    <w:rsid w:val="00900FBE"/>
    <w:rsid w:val="009150F5"/>
    <w:rsid w:val="0092256C"/>
    <w:rsid w:val="00A03FDA"/>
    <w:rsid w:val="00B94D3F"/>
    <w:rsid w:val="00BC3859"/>
    <w:rsid w:val="00BC6272"/>
    <w:rsid w:val="00BE2105"/>
    <w:rsid w:val="00C217D3"/>
    <w:rsid w:val="00C34BF4"/>
    <w:rsid w:val="00C466FA"/>
    <w:rsid w:val="00C63D5F"/>
    <w:rsid w:val="00C93F86"/>
    <w:rsid w:val="00CC53BE"/>
    <w:rsid w:val="00CE069B"/>
    <w:rsid w:val="00D23A40"/>
    <w:rsid w:val="00D8114D"/>
    <w:rsid w:val="00DB35F2"/>
    <w:rsid w:val="00E120B8"/>
    <w:rsid w:val="00E31389"/>
    <w:rsid w:val="00E45F37"/>
    <w:rsid w:val="00E7054C"/>
    <w:rsid w:val="00E95779"/>
    <w:rsid w:val="00F30A3F"/>
    <w:rsid w:val="00F4714B"/>
    <w:rsid w:val="00F50247"/>
    <w:rsid w:val="00FC6556"/>
    <w:rsid w:val="00FE2259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4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E705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E7054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05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E7054C"/>
    <w:rPr>
      <w:rFonts w:cs="Times New Roman"/>
      <w:color w:val="0000EE"/>
      <w:u w:val="single"/>
    </w:rPr>
  </w:style>
  <w:style w:type="paragraph" w:styleId="ListParagraph">
    <w:name w:val="List Paragraph"/>
    <w:basedOn w:val="Normal"/>
    <w:uiPriority w:val="99"/>
    <w:qFormat/>
    <w:rsid w:val="0090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2061</Words>
  <Characters>12161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   659/2025 FIN</dc:title>
  <dc:subject/>
  <dc:creator>Martincová Lenka</dc:creator>
  <cp:keywords/>
  <dc:description/>
  <cp:lastModifiedBy>Městský úřad Náchod</cp:lastModifiedBy>
  <cp:revision>2</cp:revision>
  <dcterms:created xsi:type="dcterms:W3CDTF">2025-01-16T09:36:00Z</dcterms:created>
  <dcterms:modified xsi:type="dcterms:W3CDTF">2025-01-16T09:36:00Z</dcterms:modified>
</cp:coreProperties>
</file>