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258A7" w14:textId="77777777" w:rsidR="00DA56D3" w:rsidRDefault="00DA56D3" w:rsidP="005A468A">
      <w:pPr>
        <w:pStyle w:val="Nzev"/>
        <w:jc w:val="left"/>
        <w:outlineLvl w:val="0"/>
      </w:pPr>
    </w:p>
    <w:p w14:paraId="103FEBB1" w14:textId="63B4EFAC" w:rsidR="00DA56D3" w:rsidRPr="00575A6C" w:rsidRDefault="00DA56D3" w:rsidP="00DA56D3">
      <w:pPr>
        <w:pStyle w:val="Nzev"/>
        <w:outlineLvl w:val="0"/>
      </w:pPr>
      <w:bookmarkStart w:id="0" w:name="_Hlk132626256"/>
      <w:r w:rsidRPr="00575A6C">
        <w:t>Smlouva o nájmu</w:t>
      </w:r>
      <w:r w:rsidR="00745EC5">
        <w:rPr>
          <w:lang w:val="cs-CZ"/>
        </w:rPr>
        <w:t xml:space="preserve"> č. </w:t>
      </w:r>
      <w:r w:rsidR="00745EC5" w:rsidRPr="00745EC5">
        <w:rPr>
          <w:lang w:val="cs-CZ"/>
        </w:rPr>
        <w:t>VYP/01/01/002507/2025</w:t>
      </w:r>
      <w:r w:rsidRPr="00575A6C">
        <w:t xml:space="preserve"> (dále jen „</w:t>
      </w:r>
      <w:r w:rsidR="00747AF9">
        <w:rPr>
          <w:i/>
          <w:iCs/>
          <w:lang w:val="cs-CZ"/>
        </w:rPr>
        <w:t>s</w:t>
      </w:r>
      <w:r w:rsidRPr="00AA7954">
        <w:rPr>
          <w:i/>
          <w:iCs/>
        </w:rPr>
        <w:t>mlouva</w:t>
      </w:r>
      <w:r w:rsidRPr="00575A6C">
        <w:t>“)</w:t>
      </w:r>
    </w:p>
    <w:p w14:paraId="7F41A3DD" w14:textId="77777777" w:rsidR="00DA56D3" w:rsidRPr="00575A6C" w:rsidRDefault="00DA56D3" w:rsidP="00DA56D3">
      <w:pPr>
        <w:pBdr>
          <w:bottom w:val="single" w:sz="12" w:space="1" w:color="auto"/>
        </w:pBdr>
        <w:jc w:val="center"/>
        <w:rPr>
          <w:sz w:val="22"/>
        </w:rPr>
      </w:pPr>
      <w:r w:rsidRPr="00575A6C">
        <w:rPr>
          <w:sz w:val="22"/>
        </w:rPr>
        <w:t xml:space="preserve">podle zákona č. 89/2012 Sb., občanský zákoník, ve znění pozdějších předpisů (dále jen </w:t>
      </w:r>
      <w:r w:rsidRPr="00F713BE">
        <w:rPr>
          <w:b/>
          <w:bCs/>
          <w:sz w:val="22"/>
        </w:rPr>
        <w:t>„</w:t>
      </w:r>
      <w:r w:rsidRPr="00F713BE">
        <w:rPr>
          <w:b/>
          <w:bCs/>
          <w:i/>
          <w:iCs/>
          <w:sz w:val="22"/>
        </w:rPr>
        <w:t>OZ</w:t>
      </w:r>
      <w:r w:rsidRPr="00F713BE">
        <w:rPr>
          <w:b/>
          <w:bCs/>
          <w:sz w:val="22"/>
        </w:rPr>
        <w:t>“)</w:t>
      </w:r>
    </w:p>
    <w:p w14:paraId="143848D4" w14:textId="77777777" w:rsidR="00DA56D3" w:rsidRDefault="00DA56D3" w:rsidP="00DA56D3">
      <w:pPr>
        <w:rPr>
          <w:sz w:val="22"/>
        </w:rPr>
      </w:pPr>
    </w:p>
    <w:p w14:paraId="4E4EA416" w14:textId="77777777" w:rsidR="00DA56D3" w:rsidRPr="00575A6C" w:rsidRDefault="00DA56D3" w:rsidP="00DA56D3">
      <w:pPr>
        <w:rPr>
          <w:sz w:val="22"/>
        </w:rPr>
      </w:pPr>
    </w:p>
    <w:p w14:paraId="39F9CD3D" w14:textId="77777777" w:rsidR="00DA56D3" w:rsidRPr="00575A6C" w:rsidRDefault="00DA56D3" w:rsidP="00DA56D3">
      <w:pPr>
        <w:jc w:val="both"/>
        <w:outlineLvl w:val="0"/>
        <w:rPr>
          <w:b/>
          <w:sz w:val="22"/>
          <w:szCs w:val="22"/>
        </w:rPr>
      </w:pPr>
      <w:r w:rsidRPr="00575A6C">
        <w:rPr>
          <w:b/>
          <w:sz w:val="22"/>
          <w:szCs w:val="22"/>
        </w:rPr>
        <w:t>Hlavní město Praha</w:t>
      </w:r>
    </w:p>
    <w:p w14:paraId="3F43708E" w14:textId="77777777" w:rsidR="00DA56D3" w:rsidRPr="00575A6C" w:rsidRDefault="00DA56D3" w:rsidP="00DA56D3">
      <w:pPr>
        <w:jc w:val="both"/>
        <w:rPr>
          <w:sz w:val="22"/>
          <w:szCs w:val="22"/>
        </w:rPr>
      </w:pPr>
      <w:r w:rsidRPr="00575A6C">
        <w:rPr>
          <w:sz w:val="22"/>
          <w:szCs w:val="22"/>
        </w:rPr>
        <w:t>se sídlem: Praha 1, Mariánské náměstí 2</w:t>
      </w:r>
    </w:p>
    <w:p w14:paraId="130A4537" w14:textId="77777777" w:rsidR="007251AF" w:rsidRDefault="00DA56D3" w:rsidP="007251AF">
      <w:pPr>
        <w:rPr>
          <w:sz w:val="22"/>
          <w:szCs w:val="22"/>
        </w:rPr>
      </w:pPr>
      <w:r w:rsidRPr="00575A6C">
        <w:rPr>
          <w:sz w:val="22"/>
          <w:szCs w:val="22"/>
        </w:rPr>
        <w:t>zastoupen</w:t>
      </w:r>
      <w:r w:rsidR="00D34533">
        <w:rPr>
          <w:sz w:val="22"/>
          <w:szCs w:val="22"/>
        </w:rPr>
        <w:t>é</w:t>
      </w:r>
      <w:r w:rsidRPr="00575A6C">
        <w:rPr>
          <w:sz w:val="22"/>
          <w:szCs w:val="22"/>
        </w:rPr>
        <w:t>:</w:t>
      </w:r>
      <w:r w:rsidR="005A468A">
        <w:rPr>
          <w:sz w:val="22"/>
          <w:szCs w:val="22"/>
        </w:rPr>
        <w:t xml:space="preserve"> </w:t>
      </w:r>
      <w:r w:rsidR="007251AF">
        <w:rPr>
          <w:sz w:val="22"/>
          <w:szCs w:val="22"/>
        </w:rPr>
        <w:t>I</w:t>
      </w:r>
      <w:r w:rsidR="007251AF" w:rsidRPr="00BA2C30">
        <w:rPr>
          <w:sz w:val="22"/>
          <w:szCs w:val="22"/>
        </w:rPr>
        <w:t xml:space="preserve">ng. </w:t>
      </w:r>
      <w:r w:rsidR="007251AF">
        <w:rPr>
          <w:sz w:val="22"/>
          <w:szCs w:val="22"/>
        </w:rPr>
        <w:t>Lukáš Stránský</w:t>
      </w:r>
      <w:r w:rsidR="007251AF" w:rsidRPr="00BA2C30">
        <w:rPr>
          <w:sz w:val="22"/>
          <w:szCs w:val="22"/>
        </w:rPr>
        <w:t xml:space="preserve">, </w:t>
      </w:r>
      <w:r w:rsidR="007251AF">
        <w:rPr>
          <w:sz w:val="22"/>
          <w:szCs w:val="22"/>
        </w:rPr>
        <w:t>ředitel</w:t>
      </w:r>
      <w:r w:rsidR="007251AF" w:rsidRPr="00BA2C30">
        <w:rPr>
          <w:sz w:val="22"/>
          <w:szCs w:val="22"/>
        </w:rPr>
        <w:t xml:space="preserve"> odboru služeb Magistrátu hlavního města Prahy</w:t>
      </w:r>
      <w:r w:rsidR="007251AF" w:rsidRPr="00575A6C">
        <w:rPr>
          <w:sz w:val="22"/>
          <w:szCs w:val="22"/>
        </w:rPr>
        <w:t xml:space="preserve"> </w:t>
      </w:r>
    </w:p>
    <w:p w14:paraId="0E006948" w14:textId="51168830" w:rsidR="00DA56D3" w:rsidRPr="00575A6C" w:rsidRDefault="00DA56D3" w:rsidP="007251AF">
      <w:pPr>
        <w:rPr>
          <w:sz w:val="22"/>
          <w:szCs w:val="22"/>
        </w:rPr>
      </w:pPr>
      <w:r w:rsidRPr="00575A6C">
        <w:rPr>
          <w:sz w:val="22"/>
          <w:szCs w:val="22"/>
        </w:rPr>
        <w:t>IČO: 000</w:t>
      </w:r>
      <w:r w:rsidR="00613D17">
        <w:rPr>
          <w:sz w:val="22"/>
          <w:szCs w:val="22"/>
        </w:rPr>
        <w:t xml:space="preserve"> </w:t>
      </w:r>
      <w:r w:rsidRPr="00575A6C">
        <w:rPr>
          <w:sz w:val="22"/>
          <w:szCs w:val="22"/>
        </w:rPr>
        <w:t>64</w:t>
      </w:r>
      <w:r w:rsidR="00613D17">
        <w:rPr>
          <w:sz w:val="22"/>
          <w:szCs w:val="22"/>
        </w:rPr>
        <w:t xml:space="preserve"> </w:t>
      </w:r>
      <w:r w:rsidRPr="00575A6C">
        <w:rPr>
          <w:sz w:val="22"/>
          <w:szCs w:val="22"/>
        </w:rPr>
        <w:t>581, DIČ: CZ000</w:t>
      </w:r>
      <w:r w:rsidR="00613D17">
        <w:rPr>
          <w:sz w:val="22"/>
          <w:szCs w:val="22"/>
        </w:rPr>
        <w:t xml:space="preserve"> </w:t>
      </w:r>
      <w:r w:rsidRPr="00575A6C">
        <w:rPr>
          <w:sz w:val="22"/>
          <w:szCs w:val="22"/>
        </w:rPr>
        <w:t>64</w:t>
      </w:r>
      <w:r w:rsidR="00613D17">
        <w:rPr>
          <w:sz w:val="22"/>
          <w:szCs w:val="22"/>
        </w:rPr>
        <w:t xml:space="preserve"> </w:t>
      </w:r>
      <w:r w:rsidRPr="00575A6C">
        <w:rPr>
          <w:sz w:val="22"/>
          <w:szCs w:val="22"/>
        </w:rPr>
        <w:t>581</w:t>
      </w:r>
    </w:p>
    <w:p w14:paraId="40D39D2A" w14:textId="77777777" w:rsidR="00DA56D3" w:rsidRPr="00575A6C" w:rsidRDefault="00DA56D3" w:rsidP="00DA56D3">
      <w:pPr>
        <w:jc w:val="both"/>
        <w:rPr>
          <w:sz w:val="22"/>
          <w:szCs w:val="22"/>
        </w:rPr>
      </w:pPr>
      <w:bookmarkStart w:id="1" w:name="_Hlk184707823"/>
      <w:r w:rsidRPr="00575A6C">
        <w:rPr>
          <w:sz w:val="22"/>
          <w:szCs w:val="22"/>
        </w:rPr>
        <w:t xml:space="preserve">bankovní spojení: </w:t>
      </w:r>
      <w:bookmarkEnd w:id="1"/>
      <w:r w:rsidRPr="00575A6C">
        <w:rPr>
          <w:sz w:val="22"/>
          <w:szCs w:val="22"/>
        </w:rPr>
        <w:t>PPF banka, a.s., Evropská 2690/17, 160 00 Praha 6</w:t>
      </w:r>
    </w:p>
    <w:p w14:paraId="11411BF8" w14:textId="3BCB74D4" w:rsidR="00DA56D3" w:rsidRDefault="00DA56D3" w:rsidP="00DA56D3">
      <w:pPr>
        <w:jc w:val="both"/>
        <w:rPr>
          <w:sz w:val="22"/>
          <w:szCs w:val="22"/>
        </w:rPr>
      </w:pPr>
      <w:r w:rsidRPr="00575A6C">
        <w:rPr>
          <w:sz w:val="22"/>
          <w:szCs w:val="22"/>
        </w:rPr>
        <w:t>č.</w:t>
      </w:r>
      <w:r w:rsidR="00AA7954">
        <w:rPr>
          <w:sz w:val="22"/>
          <w:szCs w:val="22"/>
        </w:rPr>
        <w:t xml:space="preserve"> </w:t>
      </w:r>
      <w:r w:rsidRPr="00575A6C">
        <w:rPr>
          <w:sz w:val="22"/>
          <w:szCs w:val="22"/>
        </w:rPr>
        <w:t>ú: 149024-5157998/6000</w:t>
      </w:r>
    </w:p>
    <w:p w14:paraId="09DAA60E" w14:textId="77777777" w:rsidR="00AA7954" w:rsidRPr="00AA7954" w:rsidRDefault="00AA7954" w:rsidP="00AA7954">
      <w:pPr>
        <w:jc w:val="both"/>
        <w:rPr>
          <w:sz w:val="22"/>
          <w:szCs w:val="22"/>
        </w:rPr>
      </w:pPr>
      <w:r w:rsidRPr="00AA7954">
        <w:rPr>
          <w:sz w:val="22"/>
          <w:szCs w:val="22"/>
        </w:rPr>
        <w:t>IS DS: 48ia97h</w:t>
      </w:r>
    </w:p>
    <w:p w14:paraId="24EDD905" w14:textId="77777777" w:rsidR="00DA56D3" w:rsidRPr="00575A6C" w:rsidRDefault="00DA56D3" w:rsidP="00DA56D3">
      <w:pPr>
        <w:jc w:val="both"/>
        <w:rPr>
          <w:sz w:val="22"/>
          <w:szCs w:val="22"/>
        </w:rPr>
      </w:pPr>
    </w:p>
    <w:p w14:paraId="53AB68CF" w14:textId="074DB0E0" w:rsidR="00DA56D3" w:rsidRPr="00575A6C" w:rsidRDefault="00DA56D3" w:rsidP="00DA56D3">
      <w:pPr>
        <w:jc w:val="both"/>
        <w:rPr>
          <w:sz w:val="22"/>
          <w:szCs w:val="22"/>
        </w:rPr>
      </w:pPr>
      <w:r w:rsidRPr="00575A6C">
        <w:rPr>
          <w:sz w:val="22"/>
          <w:szCs w:val="22"/>
        </w:rPr>
        <w:t>(dále jen jako „</w:t>
      </w:r>
      <w:r w:rsidR="00747AF9">
        <w:rPr>
          <w:b/>
          <w:bCs/>
          <w:i/>
          <w:iCs/>
          <w:sz w:val="22"/>
          <w:szCs w:val="22"/>
        </w:rPr>
        <w:t>p</w:t>
      </w:r>
      <w:r w:rsidRPr="0086411F">
        <w:rPr>
          <w:b/>
          <w:bCs/>
          <w:i/>
          <w:iCs/>
          <w:sz w:val="22"/>
          <w:szCs w:val="22"/>
        </w:rPr>
        <w:t>ronajímatel</w:t>
      </w:r>
      <w:r w:rsidRPr="00575A6C">
        <w:rPr>
          <w:sz w:val="22"/>
          <w:szCs w:val="22"/>
        </w:rPr>
        <w:t>“)</w:t>
      </w:r>
    </w:p>
    <w:p w14:paraId="71E0BECA" w14:textId="77777777" w:rsidR="00DA56D3" w:rsidRPr="00575A6C" w:rsidRDefault="00DA56D3" w:rsidP="00DA56D3">
      <w:pPr>
        <w:jc w:val="both"/>
        <w:rPr>
          <w:sz w:val="20"/>
          <w:szCs w:val="20"/>
        </w:rPr>
      </w:pPr>
    </w:p>
    <w:p w14:paraId="5604334F" w14:textId="77777777" w:rsidR="00DA56D3" w:rsidRPr="00575A6C" w:rsidRDefault="00DA56D3" w:rsidP="00DA56D3">
      <w:pPr>
        <w:jc w:val="both"/>
        <w:rPr>
          <w:sz w:val="22"/>
          <w:szCs w:val="22"/>
        </w:rPr>
      </w:pPr>
      <w:r w:rsidRPr="00575A6C">
        <w:rPr>
          <w:sz w:val="22"/>
          <w:szCs w:val="22"/>
        </w:rPr>
        <w:t>a</w:t>
      </w:r>
    </w:p>
    <w:p w14:paraId="7A313523" w14:textId="77777777" w:rsidR="00DA56D3" w:rsidRPr="00575A6C" w:rsidRDefault="00DA56D3" w:rsidP="00DA56D3">
      <w:pPr>
        <w:jc w:val="both"/>
        <w:rPr>
          <w:sz w:val="22"/>
          <w:szCs w:val="22"/>
        </w:rPr>
      </w:pPr>
    </w:p>
    <w:p w14:paraId="0856EC6F" w14:textId="20AC603D" w:rsidR="004C59CC" w:rsidRDefault="00FD7A5D" w:rsidP="0086411F">
      <w:pPr>
        <w:tabs>
          <w:tab w:val="left" w:pos="1095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Operátor ICT</w:t>
      </w:r>
      <w:r w:rsidR="00B80D5E">
        <w:rPr>
          <w:b/>
          <w:bCs/>
          <w:sz w:val="22"/>
          <w:szCs w:val="22"/>
        </w:rPr>
        <w:t>, a.s.</w:t>
      </w:r>
    </w:p>
    <w:p w14:paraId="387ADEFB" w14:textId="056E6866" w:rsidR="00FD7A5D" w:rsidRPr="00FD7A5D" w:rsidRDefault="00613D17" w:rsidP="00FD7A5D">
      <w:pPr>
        <w:pStyle w:val="Prosttext"/>
        <w:keepNext/>
        <w:suppressLineNumbers/>
        <w:suppressAutoHyphens/>
        <w:rPr>
          <w:rFonts w:ascii="Times New Roman" w:hAnsi="Times New Roman"/>
          <w:sz w:val="22"/>
          <w:szCs w:val="22"/>
        </w:rPr>
      </w:pPr>
      <w:r w:rsidRPr="00FD7A5D">
        <w:rPr>
          <w:rFonts w:ascii="Times New Roman" w:hAnsi="Times New Roman"/>
          <w:sz w:val="22"/>
          <w:szCs w:val="22"/>
        </w:rPr>
        <w:t xml:space="preserve">zapsán pod sp. zn.: </w:t>
      </w:r>
      <w:r w:rsidR="00FD7A5D" w:rsidRPr="00FD7A5D">
        <w:rPr>
          <w:rFonts w:ascii="Times New Roman" w:hAnsi="Times New Roman"/>
          <w:sz w:val="22"/>
          <w:szCs w:val="22"/>
        </w:rPr>
        <w:t xml:space="preserve">B 19676 u Městského soudu </w:t>
      </w:r>
      <w:r w:rsidR="00B80D5E">
        <w:rPr>
          <w:rFonts w:ascii="Times New Roman" w:hAnsi="Times New Roman"/>
          <w:sz w:val="22"/>
          <w:szCs w:val="22"/>
        </w:rPr>
        <w:t>v Praze</w:t>
      </w:r>
    </w:p>
    <w:p w14:paraId="7CA7CC8C" w14:textId="77777777" w:rsidR="00FD7A5D" w:rsidRPr="00FD7A5D" w:rsidRDefault="00F814D8" w:rsidP="00FD7A5D">
      <w:pPr>
        <w:pStyle w:val="Prosttext"/>
        <w:keepNext/>
        <w:suppressLineNumbers/>
        <w:suppressAutoHyphens/>
        <w:rPr>
          <w:rFonts w:ascii="Times New Roman" w:hAnsi="Times New Roman"/>
          <w:sz w:val="22"/>
          <w:szCs w:val="22"/>
        </w:rPr>
      </w:pPr>
      <w:r w:rsidRPr="00FD7A5D">
        <w:rPr>
          <w:rFonts w:ascii="Times New Roman" w:hAnsi="Times New Roman"/>
          <w:sz w:val="22"/>
          <w:szCs w:val="22"/>
        </w:rPr>
        <w:t xml:space="preserve">se sídlem: </w:t>
      </w:r>
      <w:r w:rsidR="00FD7A5D" w:rsidRPr="00FD7A5D">
        <w:rPr>
          <w:rFonts w:ascii="Times New Roman" w:hAnsi="Times New Roman"/>
          <w:sz w:val="22"/>
          <w:szCs w:val="22"/>
        </w:rPr>
        <w:t xml:space="preserve">Dělnická 213/12, Holešovice, 170 00 Praha 7 </w:t>
      </w:r>
    </w:p>
    <w:p w14:paraId="3D193E22" w14:textId="2B4CC635" w:rsidR="00FD7A5D" w:rsidRPr="00FD7A5D" w:rsidRDefault="00F814D8" w:rsidP="00FD7A5D">
      <w:pPr>
        <w:pStyle w:val="Prosttext"/>
        <w:keepNext/>
        <w:suppressLineNumbers/>
        <w:suppressAutoHyphens/>
        <w:rPr>
          <w:rFonts w:ascii="Times New Roman" w:hAnsi="Times New Roman"/>
          <w:sz w:val="22"/>
          <w:szCs w:val="22"/>
        </w:rPr>
      </w:pPr>
      <w:r w:rsidRPr="00FD7A5D">
        <w:rPr>
          <w:rFonts w:ascii="Times New Roman" w:hAnsi="Times New Roman"/>
          <w:sz w:val="22"/>
          <w:szCs w:val="22"/>
        </w:rPr>
        <w:t>zastoupen</w:t>
      </w:r>
      <w:r w:rsidR="00FD7A5D">
        <w:rPr>
          <w:rFonts w:ascii="Times New Roman" w:hAnsi="Times New Roman"/>
          <w:sz w:val="22"/>
          <w:szCs w:val="22"/>
        </w:rPr>
        <w:t>í</w:t>
      </w:r>
      <w:r w:rsidRPr="00FD7A5D">
        <w:rPr>
          <w:rFonts w:ascii="Times New Roman" w:hAnsi="Times New Roman"/>
          <w:sz w:val="22"/>
          <w:szCs w:val="22"/>
        </w:rPr>
        <w:t xml:space="preserve">: </w:t>
      </w:r>
      <w:r w:rsidR="00FD7A5D" w:rsidRPr="00FD7A5D">
        <w:rPr>
          <w:rFonts w:ascii="Times New Roman" w:hAnsi="Times New Roman"/>
          <w:sz w:val="22"/>
          <w:szCs w:val="22"/>
        </w:rPr>
        <w:t xml:space="preserve">Petr Suška, MSc., místopředseda představenstva </w:t>
      </w:r>
    </w:p>
    <w:p w14:paraId="78621C47" w14:textId="4A4AE480" w:rsidR="00FD7A5D" w:rsidRDefault="00FD7A5D" w:rsidP="00FD7A5D">
      <w:pPr>
        <w:pStyle w:val="Prosttext"/>
        <w:keepNext/>
        <w:suppressLineNumbers/>
        <w:suppressAutoHyphens/>
        <w:rPr>
          <w:rFonts w:ascii="Times New Roman" w:hAnsi="Times New Roman"/>
          <w:sz w:val="22"/>
          <w:szCs w:val="22"/>
        </w:rPr>
      </w:pPr>
      <w:r w:rsidRPr="00FD7A5D">
        <w:rPr>
          <w:rFonts w:ascii="Times New Roman" w:hAnsi="Times New Roman"/>
          <w:sz w:val="22"/>
          <w:szCs w:val="22"/>
        </w:rPr>
        <w:t>IČO: 027 95</w:t>
      </w:r>
      <w:r>
        <w:rPr>
          <w:rFonts w:ascii="Times New Roman" w:hAnsi="Times New Roman"/>
          <w:sz w:val="22"/>
          <w:szCs w:val="22"/>
        </w:rPr>
        <w:t> </w:t>
      </w:r>
      <w:r w:rsidRPr="00FD7A5D">
        <w:rPr>
          <w:rFonts w:ascii="Times New Roman" w:hAnsi="Times New Roman"/>
          <w:sz w:val="22"/>
          <w:szCs w:val="22"/>
        </w:rPr>
        <w:t>281</w:t>
      </w:r>
    </w:p>
    <w:p w14:paraId="362CDF30" w14:textId="77777777" w:rsidR="00FD7A5D" w:rsidRPr="00FD7A5D" w:rsidRDefault="00FD7A5D" w:rsidP="00FD7A5D">
      <w:pPr>
        <w:jc w:val="both"/>
        <w:rPr>
          <w:sz w:val="22"/>
          <w:szCs w:val="22"/>
        </w:rPr>
      </w:pPr>
      <w:r w:rsidRPr="00FD7A5D">
        <w:rPr>
          <w:sz w:val="22"/>
          <w:szCs w:val="22"/>
        </w:rPr>
        <w:t>ID DS: 3xqfe9b</w:t>
      </w:r>
    </w:p>
    <w:p w14:paraId="35A1034D" w14:textId="77777777" w:rsidR="00FD7A5D" w:rsidRPr="00FD7A5D" w:rsidRDefault="00FD7A5D" w:rsidP="00FD7A5D">
      <w:pPr>
        <w:pStyle w:val="Prosttext"/>
        <w:keepNext/>
        <w:suppressLineNumbers/>
        <w:suppressAutoHyphens/>
        <w:rPr>
          <w:rFonts w:ascii="Times New Roman" w:hAnsi="Times New Roman"/>
          <w:sz w:val="22"/>
          <w:szCs w:val="22"/>
        </w:rPr>
      </w:pPr>
    </w:p>
    <w:p w14:paraId="46AB9F12" w14:textId="4A5F1606" w:rsidR="00613D17" w:rsidRDefault="00613D17" w:rsidP="00FD7A5D">
      <w:pPr>
        <w:rPr>
          <w:sz w:val="22"/>
          <w:szCs w:val="22"/>
        </w:rPr>
      </w:pPr>
    </w:p>
    <w:p w14:paraId="6E45CD7E" w14:textId="5B6B83C9" w:rsidR="00DA56D3" w:rsidRPr="00575A6C" w:rsidRDefault="00DA56D3" w:rsidP="00DA56D3">
      <w:pPr>
        <w:jc w:val="both"/>
        <w:rPr>
          <w:sz w:val="22"/>
          <w:szCs w:val="22"/>
        </w:rPr>
      </w:pPr>
      <w:r w:rsidRPr="00575A6C">
        <w:rPr>
          <w:sz w:val="22"/>
          <w:szCs w:val="22"/>
        </w:rPr>
        <w:t>(dále jen jako „</w:t>
      </w:r>
      <w:r w:rsidR="00747AF9">
        <w:rPr>
          <w:b/>
          <w:bCs/>
          <w:i/>
          <w:iCs/>
          <w:sz w:val="22"/>
          <w:szCs w:val="22"/>
        </w:rPr>
        <w:t>n</w:t>
      </w:r>
      <w:r w:rsidRPr="0086411F">
        <w:rPr>
          <w:b/>
          <w:bCs/>
          <w:i/>
          <w:iCs/>
          <w:sz w:val="22"/>
          <w:szCs w:val="22"/>
        </w:rPr>
        <w:t>ájemce</w:t>
      </w:r>
      <w:r w:rsidRPr="00575A6C">
        <w:rPr>
          <w:sz w:val="22"/>
          <w:szCs w:val="22"/>
        </w:rPr>
        <w:t>“)</w:t>
      </w:r>
    </w:p>
    <w:p w14:paraId="06E95489" w14:textId="77777777" w:rsidR="00DA56D3" w:rsidRPr="00575A6C" w:rsidRDefault="00DA56D3" w:rsidP="00DA56D3">
      <w:pPr>
        <w:jc w:val="both"/>
        <w:rPr>
          <w:sz w:val="22"/>
          <w:szCs w:val="22"/>
        </w:rPr>
      </w:pPr>
    </w:p>
    <w:p w14:paraId="405CC5B0" w14:textId="6D0FF1A3" w:rsidR="00DA56D3" w:rsidRPr="00575A6C" w:rsidRDefault="00DA56D3" w:rsidP="00DA56D3">
      <w:pPr>
        <w:jc w:val="both"/>
        <w:rPr>
          <w:sz w:val="22"/>
          <w:szCs w:val="22"/>
        </w:rPr>
      </w:pPr>
      <w:r w:rsidRPr="00575A6C">
        <w:rPr>
          <w:sz w:val="22"/>
          <w:szCs w:val="22"/>
        </w:rPr>
        <w:t>(dále společně jen „</w:t>
      </w:r>
      <w:r w:rsidR="00747AF9">
        <w:rPr>
          <w:b/>
          <w:bCs/>
          <w:i/>
          <w:iCs/>
          <w:sz w:val="22"/>
          <w:szCs w:val="22"/>
        </w:rPr>
        <w:t>s</w:t>
      </w:r>
      <w:r w:rsidRPr="0086411F">
        <w:rPr>
          <w:b/>
          <w:bCs/>
          <w:i/>
          <w:iCs/>
          <w:sz w:val="22"/>
          <w:szCs w:val="22"/>
        </w:rPr>
        <w:t>mluvní strany</w:t>
      </w:r>
      <w:r w:rsidRPr="00575A6C">
        <w:rPr>
          <w:sz w:val="22"/>
          <w:szCs w:val="22"/>
        </w:rPr>
        <w:t>“</w:t>
      </w:r>
      <w:r w:rsidR="00AA7954">
        <w:rPr>
          <w:sz w:val="22"/>
          <w:szCs w:val="22"/>
        </w:rPr>
        <w:t xml:space="preserve"> a jednotlivě „</w:t>
      </w:r>
      <w:r w:rsidR="00747AF9">
        <w:rPr>
          <w:b/>
          <w:bCs/>
          <w:i/>
          <w:iCs/>
          <w:sz w:val="22"/>
          <w:szCs w:val="22"/>
        </w:rPr>
        <w:t>s</w:t>
      </w:r>
      <w:r w:rsidR="00AA7954" w:rsidRPr="0086411F">
        <w:rPr>
          <w:b/>
          <w:bCs/>
          <w:i/>
          <w:iCs/>
          <w:sz w:val="22"/>
          <w:szCs w:val="22"/>
        </w:rPr>
        <w:t>mluvní strana</w:t>
      </w:r>
      <w:r w:rsidR="00AA7954">
        <w:rPr>
          <w:sz w:val="22"/>
          <w:szCs w:val="22"/>
        </w:rPr>
        <w:t>“)</w:t>
      </w:r>
    </w:p>
    <w:p w14:paraId="4218DA70" w14:textId="77777777" w:rsidR="00DA56D3" w:rsidRPr="00575A6C" w:rsidRDefault="00DA56D3" w:rsidP="00DA56D3">
      <w:pPr>
        <w:jc w:val="both"/>
        <w:rPr>
          <w:sz w:val="22"/>
          <w:szCs w:val="22"/>
        </w:rPr>
      </w:pPr>
    </w:p>
    <w:p w14:paraId="4E80CAEF" w14:textId="77777777" w:rsidR="00DA56D3" w:rsidRPr="00575A6C" w:rsidRDefault="00DA56D3" w:rsidP="00DA56D3">
      <w:pPr>
        <w:jc w:val="both"/>
        <w:rPr>
          <w:sz w:val="22"/>
          <w:szCs w:val="22"/>
        </w:rPr>
      </w:pPr>
    </w:p>
    <w:p w14:paraId="3DF62145" w14:textId="77777777" w:rsidR="00DA56D3" w:rsidRPr="00575A6C" w:rsidRDefault="00DA56D3" w:rsidP="00DA56D3">
      <w:pPr>
        <w:jc w:val="both"/>
        <w:rPr>
          <w:sz w:val="22"/>
          <w:szCs w:val="22"/>
        </w:rPr>
      </w:pPr>
    </w:p>
    <w:p w14:paraId="51192364" w14:textId="77777777" w:rsidR="007A0BAE" w:rsidRDefault="00DA56D3" w:rsidP="007A0BAE">
      <w:pPr>
        <w:numPr>
          <w:ilvl w:val="0"/>
          <w:numId w:val="1"/>
        </w:numPr>
        <w:ind w:left="782" w:hanging="357"/>
        <w:jc w:val="both"/>
        <w:rPr>
          <w:sz w:val="22"/>
          <w:szCs w:val="22"/>
        </w:rPr>
      </w:pPr>
      <w:r w:rsidRPr="00575A6C">
        <w:rPr>
          <w:sz w:val="22"/>
          <w:szCs w:val="22"/>
        </w:rPr>
        <w:t xml:space="preserve">Pronajímatel přenechá </w:t>
      </w:r>
      <w:r w:rsidR="00747AF9">
        <w:rPr>
          <w:sz w:val="22"/>
          <w:szCs w:val="22"/>
        </w:rPr>
        <w:t>n</w:t>
      </w:r>
      <w:r w:rsidRPr="00575A6C">
        <w:rPr>
          <w:sz w:val="22"/>
          <w:szCs w:val="22"/>
        </w:rPr>
        <w:t xml:space="preserve">ájemci do užívání </w:t>
      </w:r>
      <w:r w:rsidR="007251AF">
        <w:rPr>
          <w:sz w:val="22"/>
          <w:szCs w:val="22"/>
        </w:rPr>
        <w:t>velký zasedací sál (č. 128)</w:t>
      </w:r>
      <w:r w:rsidR="00CB2816">
        <w:rPr>
          <w:sz w:val="22"/>
          <w:szCs w:val="22"/>
        </w:rPr>
        <w:t xml:space="preserve"> </w:t>
      </w:r>
      <w:r w:rsidR="007251AF" w:rsidRPr="001D4E0F">
        <w:rPr>
          <w:sz w:val="22"/>
          <w:szCs w:val="22"/>
        </w:rPr>
        <w:t>včetně stávajícího zařízení a technické</w:t>
      </w:r>
      <w:r w:rsidR="007251AF">
        <w:rPr>
          <w:sz w:val="22"/>
          <w:szCs w:val="22"/>
        </w:rPr>
        <w:t xml:space="preserve">ho vybavení nacházející se </w:t>
      </w:r>
      <w:r w:rsidR="007251AF" w:rsidRPr="001D4E0F">
        <w:rPr>
          <w:sz w:val="22"/>
          <w:szCs w:val="22"/>
        </w:rPr>
        <w:t>v </w:t>
      </w:r>
      <w:r w:rsidR="007251AF" w:rsidRPr="00926F49">
        <w:rPr>
          <w:sz w:val="22"/>
          <w:szCs w:val="22"/>
        </w:rPr>
        <w:t>1. patře objektu Nová radnice hlavního města Prahy</w:t>
      </w:r>
      <w:r w:rsidR="007251AF" w:rsidRPr="001D4E0F">
        <w:rPr>
          <w:sz w:val="22"/>
          <w:szCs w:val="22"/>
        </w:rPr>
        <w:t xml:space="preserve"> ve správě odboru služeb Magistrátu hlavního města Prahy, </w:t>
      </w:r>
      <w:r w:rsidR="007251AF" w:rsidRPr="007143D9">
        <w:rPr>
          <w:sz w:val="22"/>
          <w:szCs w:val="22"/>
        </w:rPr>
        <w:t>na adrese Mariánské náměstí 2, Praha 1</w:t>
      </w:r>
      <w:r w:rsidR="007251AF" w:rsidRPr="00575A6C">
        <w:rPr>
          <w:sz w:val="22"/>
          <w:szCs w:val="22"/>
        </w:rPr>
        <w:t xml:space="preserve"> </w:t>
      </w:r>
      <w:r w:rsidRPr="00575A6C">
        <w:rPr>
          <w:sz w:val="22"/>
          <w:szCs w:val="22"/>
        </w:rPr>
        <w:t>(dále jen „</w:t>
      </w:r>
      <w:r w:rsidR="00747AF9">
        <w:rPr>
          <w:b/>
          <w:bCs/>
          <w:i/>
          <w:iCs/>
          <w:sz w:val="22"/>
          <w:szCs w:val="22"/>
        </w:rPr>
        <w:t>p</w:t>
      </w:r>
      <w:r w:rsidRPr="0086411F">
        <w:rPr>
          <w:b/>
          <w:bCs/>
          <w:i/>
          <w:iCs/>
          <w:sz w:val="22"/>
          <w:szCs w:val="22"/>
        </w:rPr>
        <w:t>ředmět nájmu</w:t>
      </w:r>
      <w:r w:rsidRPr="00575A6C">
        <w:rPr>
          <w:sz w:val="22"/>
          <w:szCs w:val="22"/>
        </w:rPr>
        <w:t xml:space="preserve">“), který je v jeho výlučném vlastnictví. Nájemce se zavazuje </w:t>
      </w:r>
      <w:r w:rsidR="00747AF9">
        <w:rPr>
          <w:sz w:val="22"/>
          <w:szCs w:val="22"/>
        </w:rPr>
        <w:t>p</w:t>
      </w:r>
      <w:r w:rsidRPr="00575A6C">
        <w:rPr>
          <w:sz w:val="22"/>
          <w:szCs w:val="22"/>
        </w:rPr>
        <w:t xml:space="preserve">ředmět nájmu převzít a zaplatit za něj </w:t>
      </w:r>
      <w:r w:rsidR="00747AF9">
        <w:rPr>
          <w:sz w:val="22"/>
          <w:szCs w:val="22"/>
        </w:rPr>
        <w:t>p</w:t>
      </w:r>
      <w:r w:rsidRPr="00575A6C">
        <w:rPr>
          <w:sz w:val="22"/>
          <w:szCs w:val="22"/>
        </w:rPr>
        <w:t xml:space="preserve">ronajímateli nájemné a náhradu za plnění poskytovaná v souvislosti s užíváním </w:t>
      </w:r>
      <w:r w:rsidR="00747AF9">
        <w:rPr>
          <w:sz w:val="22"/>
          <w:szCs w:val="22"/>
        </w:rPr>
        <w:t>p</w:t>
      </w:r>
      <w:r w:rsidRPr="00575A6C">
        <w:rPr>
          <w:sz w:val="22"/>
          <w:szCs w:val="22"/>
        </w:rPr>
        <w:t xml:space="preserve">ředmětu nájmu. </w:t>
      </w:r>
    </w:p>
    <w:p w14:paraId="6F1A15B2" w14:textId="77777777" w:rsidR="007A0BAE" w:rsidRDefault="007A0BAE" w:rsidP="007A0BAE">
      <w:pPr>
        <w:ind w:left="782" w:hanging="357"/>
        <w:jc w:val="both"/>
        <w:rPr>
          <w:sz w:val="22"/>
          <w:szCs w:val="22"/>
        </w:rPr>
      </w:pPr>
    </w:p>
    <w:p w14:paraId="2E5465F6" w14:textId="4C6F90FD" w:rsidR="00DA56D3" w:rsidRPr="007A0BAE" w:rsidRDefault="00DA56D3" w:rsidP="007A0BAE">
      <w:pPr>
        <w:numPr>
          <w:ilvl w:val="0"/>
          <w:numId w:val="1"/>
        </w:numPr>
        <w:ind w:left="782" w:hanging="357"/>
        <w:jc w:val="both"/>
        <w:rPr>
          <w:sz w:val="22"/>
          <w:szCs w:val="22"/>
        </w:rPr>
      </w:pPr>
      <w:r w:rsidRPr="007A0BAE">
        <w:rPr>
          <w:sz w:val="22"/>
          <w:szCs w:val="22"/>
        </w:rPr>
        <w:t xml:space="preserve">Účelem nájmu je užívání </w:t>
      </w:r>
      <w:r w:rsidR="00747AF9" w:rsidRPr="007A0BAE">
        <w:rPr>
          <w:sz w:val="22"/>
          <w:szCs w:val="22"/>
        </w:rPr>
        <w:t>p</w:t>
      </w:r>
      <w:r w:rsidRPr="007A0BAE">
        <w:rPr>
          <w:sz w:val="22"/>
          <w:szCs w:val="22"/>
        </w:rPr>
        <w:t xml:space="preserve">ředmětu nájmu </w:t>
      </w:r>
      <w:r w:rsidRPr="007A0BAE">
        <w:rPr>
          <w:bCs/>
          <w:sz w:val="22"/>
          <w:szCs w:val="22"/>
        </w:rPr>
        <w:t>pro konferenční účely, přednášky, školení a obdobné vzdělávací či kulturní akce.</w:t>
      </w:r>
      <w:r w:rsidRPr="007A0BAE">
        <w:rPr>
          <w:sz w:val="22"/>
          <w:szCs w:val="22"/>
        </w:rPr>
        <w:t xml:space="preserve"> Konkrétně se jedná o účel konání akce s</w:t>
      </w:r>
      <w:r w:rsidR="00550487" w:rsidRPr="007A0BAE">
        <w:rPr>
          <w:sz w:val="22"/>
          <w:szCs w:val="22"/>
        </w:rPr>
        <w:t> </w:t>
      </w:r>
      <w:r w:rsidRPr="007A0BAE">
        <w:rPr>
          <w:sz w:val="22"/>
          <w:szCs w:val="22"/>
        </w:rPr>
        <w:t>názvem</w:t>
      </w:r>
      <w:r w:rsidR="00550487" w:rsidRPr="007A0BAE">
        <w:rPr>
          <w:sz w:val="22"/>
          <w:szCs w:val="22"/>
        </w:rPr>
        <w:t xml:space="preserve"> </w:t>
      </w:r>
      <w:r w:rsidR="00F86D5E" w:rsidRPr="007A0BAE">
        <w:rPr>
          <w:sz w:val="22"/>
          <w:szCs w:val="22"/>
        </w:rPr>
        <w:t>All staff meeting pro zaměstnance OICT a zástupců HMP.</w:t>
      </w:r>
    </w:p>
    <w:p w14:paraId="7F794FDA" w14:textId="77777777" w:rsidR="00CB2816" w:rsidRDefault="00CB2816" w:rsidP="007A0BAE">
      <w:pPr>
        <w:pStyle w:val="Odstavecseseznamem"/>
        <w:ind w:left="782" w:hanging="357"/>
        <w:rPr>
          <w:sz w:val="22"/>
          <w:szCs w:val="22"/>
        </w:rPr>
      </w:pPr>
    </w:p>
    <w:p w14:paraId="46C6E815" w14:textId="4CE1CF0C" w:rsidR="00FD7A5D" w:rsidRPr="00CB2816" w:rsidRDefault="00DA56D3" w:rsidP="007A0BAE">
      <w:pPr>
        <w:numPr>
          <w:ilvl w:val="0"/>
          <w:numId w:val="1"/>
        </w:numPr>
        <w:tabs>
          <w:tab w:val="num" w:pos="720"/>
        </w:tabs>
        <w:ind w:left="782" w:hanging="357"/>
        <w:jc w:val="both"/>
        <w:rPr>
          <w:sz w:val="22"/>
          <w:szCs w:val="22"/>
        </w:rPr>
      </w:pPr>
      <w:r w:rsidRPr="00CB2816">
        <w:rPr>
          <w:sz w:val="22"/>
          <w:szCs w:val="22"/>
        </w:rPr>
        <w:t xml:space="preserve">Nájem se sjednává na dobu určitou, a to </w:t>
      </w:r>
      <w:r w:rsidR="00FD7A5D" w:rsidRPr="00CB2816">
        <w:rPr>
          <w:sz w:val="22"/>
          <w:szCs w:val="22"/>
        </w:rPr>
        <w:t>dne</w:t>
      </w:r>
      <w:r w:rsidRPr="00CB2816">
        <w:rPr>
          <w:sz w:val="22"/>
          <w:szCs w:val="22"/>
        </w:rPr>
        <w:t xml:space="preserve">: </w:t>
      </w:r>
      <w:r w:rsidR="00FD7A5D" w:rsidRPr="00CB2816">
        <w:rPr>
          <w:b/>
          <w:bCs/>
          <w:sz w:val="22"/>
          <w:szCs w:val="22"/>
        </w:rPr>
        <w:t>16.01.2025</w:t>
      </w:r>
    </w:p>
    <w:p w14:paraId="474E8A0F" w14:textId="57C256D4" w:rsidR="00E00368" w:rsidRPr="00E00368" w:rsidRDefault="00E00368" w:rsidP="00FD7A5D">
      <w:pPr>
        <w:ind w:left="502"/>
        <w:jc w:val="both"/>
        <w:rPr>
          <w:b/>
          <w:bCs/>
          <w:sz w:val="22"/>
          <w:szCs w:val="22"/>
        </w:rPr>
      </w:pPr>
    </w:p>
    <w:p w14:paraId="38BD6642" w14:textId="5051E38B" w:rsidR="007251AF" w:rsidRPr="007F50DC" w:rsidRDefault="007251AF" w:rsidP="00E00368">
      <w:pPr>
        <w:ind w:firstLine="708"/>
        <w:jc w:val="both"/>
        <w:rPr>
          <w:sz w:val="22"/>
          <w:szCs w:val="22"/>
        </w:rPr>
      </w:pPr>
      <w:r w:rsidRPr="007F50DC">
        <w:rPr>
          <w:sz w:val="22"/>
          <w:szCs w:val="22"/>
        </w:rPr>
        <w:t xml:space="preserve">velký zasedací sál (č. 128)   </w:t>
      </w:r>
      <w:r w:rsidRPr="007F50DC"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od </w:t>
      </w:r>
      <w:r w:rsidR="00FD7A5D">
        <w:rPr>
          <w:sz w:val="22"/>
          <w:szCs w:val="22"/>
        </w:rPr>
        <w:t>15</w:t>
      </w:r>
      <w:r w:rsidR="00E00368">
        <w:rPr>
          <w:sz w:val="22"/>
          <w:szCs w:val="22"/>
        </w:rPr>
        <w:t>,00</w:t>
      </w:r>
      <w:r>
        <w:rPr>
          <w:sz w:val="22"/>
          <w:szCs w:val="22"/>
        </w:rPr>
        <w:t xml:space="preserve"> do </w:t>
      </w:r>
      <w:r w:rsidR="00FD7A5D">
        <w:rPr>
          <w:sz w:val="22"/>
          <w:szCs w:val="22"/>
        </w:rPr>
        <w:t>19</w:t>
      </w:r>
      <w:r>
        <w:rPr>
          <w:sz w:val="22"/>
          <w:szCs w:val="22"/>
        </w:rPr>
        <w:t>,00 hod.</w:t>
      </w:r>
    </w:p>
    <w:p w14:paraId="151C25AC" w14:textId="77777777" w:rsidR="007251AF" w:rsidRDefault="007251AF" w:rsidP="007251AF">
      <w:pPr>
        <w:ind w:left="900" w:hanging="18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3926CB70" w14:textId="661186A9" w:rsidR="007251AF" w:rsidRDefault="00E00368" w:rsidP="00E0036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="00DA56D3" w:rsidRPr="00575A6C">
        <w:rPr>
          <w:sz w:val="22"/>
          <w:szCs w:val="22"/>
        </w:rPr>
        <w:t xml:space="preserve">s těmito službami: </w:t>
      </w:r>
      <w:r w:rsidR="005A468A">
        <w:rPr>
          <w:sz w:val="22"/>
          <w:szCs w:val="22"/>
        </w:rPr>
        <w:tab/>
      </w:r>
    </w:p>
    <w:p w14:paraId="20575C6F" w14:textId="7F62459F" w:rsidR="007251AF" w:rsidRDefault="007251AF" w:rsidP="007251AF">
      <w:pPr>
        <w:ind w:firstLine="708"/>
        <w:jc w:val="both"/>
        <w:rPr>
          <w:sz w:val="22"/>
          <w:szCs w:val="22"/>
        </w:rPr>
      </w:pPr>
      <w:r w:rsidRPr="007F50DC">
        <w:rPr>
          <w:sz w:val="22"/>
          <w:szCs w:val="22"/>
        </w:rPr>
        <w:t xml:space="preserve">ozvučení </w:t>
      </w:r>
      <w:r w:rsidR="00613D17">
        <w:rPr>
          <w:sz w:val="22"/>
          <w:szCs w:val="22"/>
        </w:rPr>
        <w:t>velkého zasedacího sálu (</w:t>
      </w:r>
      <w:r w:rsidRPr="007F50DC">
        <w:rPr>
          <w:sz w:val="22"/>
          <w:szCs w:val="22"/>
        </w:rPr>
        <w:t>č. 128</w:t>
      </w:r>
      <w:r w:rsidR="00613D17">
        <w:rPr>
          <w:sz w:val="22"/>
          <w:szCs w:val="22"/>
        </w:rPr>
        <w:t>)</w:t>
      </w:r>
      <w:r w:rsidRPr="007F50DC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3771C">
        <w:rPr>
          <w:sz w:val="22"/>
          <w:szCs w:val="22"/>
        </w:rPr>
        <w:tab/>
      </w:r>
      <w:r>
        <w:rPr>
          <w:sz w:val="22"/>
          <w:szCs w:val="22"/>
        </w:rPr>
        <w:t xml:space="preserve">od </w:t>
      </w:r>
      <w:r w:rsidR="00FD7A5D">
        <w:rPr>
          <w:sz w:val="22"/>
          <w:szCs w:val="22"/>
        </w:rPr>
        <w:t>15</w:t>
      </w:r>
      <w:r w:rsidR="00E00368">
        <w:rPr>
          <w:sz w:val="22"/>
          <w:szCs w:val="22"/>
        </w:rPr>
        <w:t>,00</w:t>
      </w:r>
      <w:r>
        <w:rPr>
          <w:sz w:val="22"/>
          <w:szCs w:val="22"/>
        </w:rPr>
        <w:t xml:space="preserve"> do </w:t>
      </w:r>
      <w:r w:rsidR="00FD7A5D">
        <w:rPr>
          <w:sz w:val="22"/>
          <w:szCs w:val="22"/>
        </w:rPr>
        <w:t>19</w:t>
      </w:r>
      <w:r>
        <w:rPr>
          <w:sz w:val="22"/>
          <w:szCs w:val="22"/>
        </w:rPr>
        <w:t>,00 hod.</w:t>
      </w:r>
    </w:p>
    <w:p w14:paraId="6E3F21B7" w14:textId="77777777" w:rsidR="00FD7A5D" w:rsidRDefault="00FD7A5D" w:rsidP="00FD7A5D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promítání (</w:t>
      </w:r>
      <w:r w:rsidRPr="007F50DC">
        <w:rPr>
          <w:sz w:val="22"/>
          <w:szCs w:val="22"/>
        </w:rPr>
        <w:t>č. 128</w:t>
      </w:r>
      <w:r>
        <w:rPr>
          <w:sz w:val="22"/>
          <w:szCs w:val="22"/>
        </w:rPr>
        <w:t>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od 15,00 do 19,00 hod.</w:t>
      </w:r>
    </w:p>
    <w:p w14:paraId="2267C02C" w14:textId="3382A57F" w:rsidR="00DA56D3" w:rsidRPr="00575A6C" w:rsidRDefault="00DA56D3" w:rsidP="00DA56D3">
      <w:pPr>
        <w:ind w:left="900" w:hanging="180"/>
        <w:jc w:val="both"/>
        <w:rPr>
          <w:sz w:val="22"/>
          <w:szCs w:val="22"/>
        </w:rPr>
      </w:pPr>
      <w:r w:rsidRPr="00575A6C">
        <w:rPr>
          <w:sz w:val="22"/>
          <w:szCs w:val="22"/>
        </w:rPr>
        <w:t xml:space="preserve">      </w:t>
      </w:r>
    </w:p>
    <w:p w14:paraId="6BCC7927" w14:textId="12134D74" w:rsidR="002F2C58" w:rsidRPr="00575A6C" w:rsidRDefault="00DA56D3" w:rsidP="00DA56D3">
      <w:pPr>
        <w:tabs>
          <w:tab w:val="num" w:pos="720"/>
        </w:tabs>
        <w:ind w:left="720" w:firstLine="360"/>
        <w:jc w:val="both"/>
        <w:rPr>
          <w:sz w:val="22"/>
          <w:szCs w:val="22"/>
        </w:rPr>
      </w:pPr>
      <w:r w:rsidRPr="00575A6C">
        <w:rPr>
          <w:sz w:val="22"/>
          <w:szCs w:val="22"/>
        </w:rPr>
        <w:t xml:space="preserve">                             </w:t>
      </w:r>
    </w:p>
    <w:p w14:paraId="36B316AE" w14:textId="77777777" w:rsidR="00CB2816" w:rsidRDefault="00CB2816" w:rsidP="00CB2816">
      <w:pPr>
        <w:tabs>
          <w:tab w:val="num" w:pos="720"/>
        </w:tabs>
        <w:ind w:left="708"/>
        <w:jc w:val="both"/>
        <w:rPr>
          <w:b/>
          <w:bCs/>
          <w:sz w:val="22"/>
          <w:szCs w:val="22"/>
        </w:rPr>
      </w:pPr>
    </w:p>
    <w:p w14:paraId="1742E113" w14:textId="7A6B4C47" w:rsidR="00A22C49" w:rsidRDefault="00CB2816" w:rsidP="00CB2816">
      <w:pPr>
        <w:tabs>
          <w:tab w:val="num" w:pos="720"/>
        </w:tabs>
        <w:ind w:left="708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ab/>
      </w:r>
      <w:r w:rsidR="00DA56D3" w:rsidRPr="00575A6C">
        <w:rPr>
          <w:sz w:val="22"/>
          <w:szCs w:val="22"/>
        </w:rPr>
        <w:t xml:space="preserve">Celková výše nájemného činí </w:t>
      </w:r>
      <w:r w:rsidR="00FD7A5D">
        <w:rPr>
          <w:b/>
          <w:sz w:val="22"/>
          <w:szCs w:val="22"/>
        </w:rPr>
        <w:t>10</w:t>
      </w:r>
      <w:r w:rsidR="00F814D8">
        <w:rPr>
          <w:b/>
          <w:sz w:val="22"/>
          <w:szCs w:val="22"/>
        </w:rPr>
        <w:t xml:space="preserve"> 000,00 </w:t>
      </w:r>
      <w:r w:rsidR="00DA56D3" w:rsidRPr="00575A6C">
        <w:rPr>
          <w:b/>
          <w:sz w:val="22"/>
          <w:szCs w:val="22"/>
        </w:rPr>
        <w:t>Kč</w:t>
      </w:r>
      <w:r w:rsidR="00D270AC">
        <w:rPr>
          <w:b/>
          <w:sz w:val="22"/>
          <w:szCs w:val="22"/>
        </w:rPr>
        <w:t>, bez DPH</w:t>
      </w:r>
      <w:r w:rsidR="00DA56D3" w:rsidRPr="00575A6C">
        <w:rPr>
          <w:b/>
          <w:sz w:val="22"/>
          <w:szCs w:val="22"/>
        </w:rPr>
        <w:t xml:space="preserve"> </w:t>
      </w:r>
      <w:r w:rsidR="00DA56D3" w:rsidRPr="00575A6C">
        <w:rPr>
          <w:sz w:val="22"/>
          <w:szCs w:val="22"/>
        </w:rPr>
        <w:t xml:space="preserve">(slovy </w:t>
      </w:r>
      <w:r w:rsidR="00FD7A5D">
        <w:rPr>
          <w:sz w:val="22"/>
          <w:szCs w:val="22"/>
        </w:rPr>
        <w:t>deset</w:t>
      </w:r>
      <w:r w:rsidR="00D270AC">
        <w:rPr>
          <w:sz w:val="22"/>
          <w:szCs w:val="22"/>
        </w:rPr>
        <w:t xml:space="preserve"> </w:t>
      </w:r>
      <w:r w:rsidR="00613D17">
        <w:rPr>
          <w:sz w:val="22"/>
          <w:szCs w:val="22"/>
        </w:rPr>
        <w:t xml:space="preserve">tisíc </w:t>
      </w:r>
      <w:r w:rsidR="00DA56D3" w:rsidRPr="00575A6C">
        <w:rPr>
          <w:sz w:val="22"/>
          <w:szCs w:val="22"/>
        </w:rPr>
        <w:t xml:space="preserve">korun českých). Výše úhrady za plnění (služby) poskytovaná v souvislosti s užíváním předmětu nájmu činí </w:t>
      </w:r>
      <w:r>
        <w:rPr>
          <w:sz w:val="22"/>
          <w:szCs w:val="22"/>
        </w:rPr>
        <w:tab/>
      </w:r>
      <w:r w:rsidR="00BC2DA3">
        <w:rPr>
          <w:b/>
          <w:sz w:val="22"/>
          <w:szCs w:val="22"/>
        </w:rPr>
        <w:t>12</w:t>
      </w:r>
      <w:r w:rsidR="00F814D8">
        <w:rPr>
          <w:b/>
          <w:sz w:val="22"/>
          <w:szCs w:val="22"/>
        </w:rPr>
        <w:t xml:space="preserve"> 000,00 </w:t>
      </w:r>
      <w:r w:rsidR="00DA56D3" w:rsidRPr="00575A6C">
        <w:rPr>
          <w:b/>
          <w:sz w:val="22"/>
          <w:szCs w:val="22"/>
        </w:rPr>
        <w:t>Kč</w:t>
      </w:r>
      <w:r w:rsidR="00D270AC">
        <w:rPr>
          <w:b/>
          <w:sz w:val="22"/>
          <w:szCs w:val="22"/>
        </w:rPr>
        <w:t xml:space="preserve">, </w:t>
      </w:r>
      <w:r w:rsidR="00D270AC" w:rsidRPr="00575A6C">
        <w:rPr>
          <w:b/>
          <w:sz w:val="22"/>
          <w:szCs w:val="22"/>
        </w:rPr>
        <w:t>bez DPH</w:t>
      </w:r>
      <w:r w:rsidR="00DA56D3" w:rsidRPr="00575A6C">
        <w:rPr>
          <w:sz w:val="22"/>
          <w:szCs w:val="22"/>
        </w:rPr>
        <w:t xml:space="preserve"> (slovy </w:t>
      </w:r>
      <w:r w:rsidR="00BC2DA3">
        <w:rPr>
          <w:sz w:val="22"/>
          <w:szCs w:val="22"/>
        </w:rPr>
        <w:t xml:space="preserve">dvanáct </w:t>
      </w:r>
      <w:r w:rsidR="00613D17">
        <w:rPr>
          <w:sz w:val="22"/>
          <w:szCs w:val="22"/>
        </w:rPr>
        <w:t xml:space="preserve">tisíc </w:t>
      </w:r>
      <w:r w:rsidR="00DA56D3" w:rsidRPr="00575A6C">
        <w:rPr>
          <w:sz w:val="22"/>
          <w:szCs w:val="22"/>
        </w:rPr>
        <w:t xml:space="preserve">korun českých). K základu daně bude připočtena příslušná sazba DPH podle zákona č. 235/2004 Sb., o dani z přidané hodnoty, ve znění pozdějších předpisů. </w:t>
      </w:r>
    </w:p>
    <w:p w14:paraId="0E192A87" w14:textId="6FDE4E7B" w:rsidR="002F2C58" w:rsidRPr="00F92689" w:rsidRDefault="002F2C58" w:rsidP="008407D0">
      <w:pPr>
        <w:tabs>
          <w:tab w:val="num" w:pos="720"/>
        </w:tabs>
        <w:ind w:left="720"/>
        <w:jc w:val="both"/>
        <w:rPr>
          <w:sz w:val="22"/>
          <w:highlight w:val="yellow"/>
        </w:rPr>
      </w:pPr>
      <w:r>
        <w:rPr>
          <w:bCs/>
          <w:sz w:val="22"/>
          <w:szCs w:val="22"/>
        </w:rPr>
        <w:t>Nájemné a v</w:t>
      </w:r>
      <w:r w:rsidRPr="002F2C58">
        <w:rPr>
          <w:bCs/>
          <w:sz w:val="22"/>
          <w:szCs w:val="22"/>
        </w:rPr>
        <w:t xml:space="preserve">ýše úhrady za služby byla vypočtena v souladu s Ceníkem úhrad a služeb v objektech hlavního města Prahy ve správě odboru </w:t>
      </w:r>
      <w:r w:rsidR="00A37ACE">
        <w:rPr>
          <w:bCs/>
          <w:sz w:val="22"/>
          <w:szCs w:val="22"/>
        </w:rPr>
        <w:t>služeb MHMP</w:t>
      </w:r>
      <w:r w:rsidRPr="002F2C58">
        <w:rPr>
          <w:bCs/>
          <w:sz w:val="22"/>
          <w:szCs w:val="22"/>
        </w:rPr>
        <w:t xml:space="preserve">, který </w:t>
      </w:r>
      <w:r w:rsidR="008C130D">
        <w:rPr>
          <w:bCs/>
          <w:sz w:val="22"/>
          <w:szCs w:val="22"/>
        </w:rPr>
        <w:t>je součástí</w:t>
      </w:r>
      <w:r w:rsidR="008C130D" w:rsidRPr="002F2C58">
        <w:rPr>
          <w:bCs/>
          <w:sz w:val="22"/>
          <w:szCs w:val="22"/>
        </w:rPr>
        <w:t xml:space="preserve"> </w:t>
      </w:r>
      <w:r w:rsidRPr="002F2C58">
        <w:rPr>
          <w:bCs/>
          <w:sz w:val="22"/>
          <w:szCs w:val="22"/>
        </w:rPr>
        <w:t>Příloh</w:t>
      </w:r>
      <w:r w:rsidR="008C130D">
        <w:rPr>
          <w:bCs/>
          <w:sz w:val="22"/>
          <w:szCs w:val="22"/>
        </w:rPr>
        <w:t>y</w:t>
      </w:r>
      <w:r w:rsidRPr="002F2C58">
        <w:rPr>
          <w:bCs/>
          <w:sz w:val="22"/>
          <w:szCs w:val="22"/>
        </w:rPr>
        <w:t xml:space="preserve"> č. </w:t>
      </w:r>
      <w:r w:rsidR="008C130D">
        <w:rPr>
          <w:bCs/>
          <w:sz w:val="22"/>
          <w:szCs w:val="22"/>
        </w:rPr>
        <w:t>2</w:t>
      </w:r>
      <w:r w:rsidRPr="002F2C58">
        <w:rPr>
          <w:bCs/>
          <w:sz w:val="22"/>
          <w:szCs w:val="22"/>
        </w:rPr>
        <w:t xml:space="preserve"> usnesení Rady HMP </w:t>
      </w:r>
      <w:r w:rsidR="005A468A" w:rsidRPr="005A468A">
        <w:rPr>
          <w:bCs/>
          <w:sz w:val="22"/>
          <w:szCs w:val="22"/>
        </w:rPr>
        <w:t>č. 810 ze dne 9. 5. 2023</w:t>
      </w:r>
      <w:r w:rsidR="005A468A">
        <w:rPr>
          <w:bCs/>
          <w:sz w:val="22"/>
          <w:szCs w:val="22"/>
        </w:rPr>
        <w:t>.</w:t>
      </w:r>
    </w:p>
    <w:p w14:paraId="7BC148B3" w14:textId="5AB056A0" w:rsidR="00693089" w:rsidRPr="00F92689" w:rsidRDefault="00693089" w:rsidP="00A22C49">
      <w:pPr>
        <w:tabs>
          <w:tab w:val="num" w:pos="720"/>
        </w:tabs>
        <w:ind w:left="720"/>
        <w:jc w:val="both"/>
        <w:rPr>
          <w:sz w:val="22"/>
          <w:szCs w:val="22"/>
        </w:rPr>
      </w:pPr>
      <w:r w:rsidRPr="00F92689">
        <w:rPr>
          <w:sz w:val="22"/>
          <w:szCs w:val="22"/>
        </w:rPr>
        <w:t xml:space="preserve">Nájemné a náhradu za služby se zavazuje Nájemce uhradit na základě daňového dokladu vystaveného </w:t>
      </w:r>
      <w:r w:rsidR="00A37ACE">
        <w:rPr>
          <w:sz w:val="22"/>
          <w:szCs w:val="22"/>
        </w:rPr>
        <w:t>p</w:t>
      </w:r>
      <w:r w:rsidRPr="00F92689">
        <w:rPr>
          <w:sz w:val="22"/>
          <w:szCs w:val="22"/>
        </w:rPr>
        <w:t>ronajímatelem. Den uskutečnění zdanitelného plnění je den vystavení daňového dokladu. Splatnost daňového dokladu je stanovena na 14 dn</w:t>
      </w:r>
      <w:r w:rsidR="00F92689" w:rsidRPr="00F92689">
        <w:rPr>
          <w:sz w:val="22"/>
          <w:szCs w:val="22"/>
        </w:rPr>
        <w:t>í</w:t>
      </w:r>
      <w:r w:rsidRPr="00F92689">
        <w:rPr>
          <w:sz w:val="22"/>
          <w:szCs w:val="22"/>
        </w:rPr>
        <w:t xml:space="preserve"> ode dne vystavení daňového dokladu.</w:t>
      </w:r>
      <w:r w:rsidR="002F2C58">
        <w:rPr>
          <w:sz w:val="22"/>
          <w:szCs w:val="22"/>
        </w:rPr>
        <w:t xml:space="preserve"> </w:t>
      </w:r>
    </w:p>
    <w:p w14:paraId="77A90E17" w14:textId="77777777" w:rsidR="00DA56D3" w:rsidRPr="00575A6C" w:rsidRDefault="00DA56D3" w:rsidP="00DA56D3">
      <w:pPr>
        <w:ind w:left="720"/>
        <w:jc w:val="both"/>
        <w:rPr>
          <w:sz w:val="22"/>
          <w:szCs w:val="22"/>
        </w:rPr>
      </w:pPr>
    </w:p>
    <w:p w14:paraId="2B8E808B" w14:textId="0A4F3CA1" w:rsidR="00DA56D3" w:rsidRPr="00575A6C" w:rsidRDefault="00DA56D3" w:rsidP="00DA56D3">
      <w:pPr>
        <w:numPr>
          <w:ilvl w:val="0"/>
          <w:numId w:val="1"/>
        </w:numPr>
        <w:jc w:val="both"/>
        <w:rPr>
          <w:sz w:val="22"/>
          <w:szCs w:val="22"/>
        </w:rPr>
      </w:pPr>
      <w:r w:rsidRPr="00575A6C">
        <w:rPr>
          <w:sz w:val="22"/>
          <w:szCs w:val="22"/>
        </w:rPr>
        <w:t xml:space="preserve">Nájemce je povinen vrátit </w:t>
      </w:r>
      <w:r w:rsidR="00747AF9">
        <w:rPr>
          <w:sz w:val="22"/>
          <w:szCs w:val="22"/>
        </w:rPr>
        <w:t>p</w:t>
      </w:r>
      <w:r w:rsidRPr="00575A6C">
        <w:rPr>
          <w:sz w:val="22"/>
          <w:szCs w:val="22"/>
        </w:rPr>
        <w:t xml:space="preserve">ředmět nájmu ve stavu, v jakém ho převzal. Nájemce se zavazuje uhradit případné škody, které vzniknou na majetku </w:t>
      </w:r>
      <w:r w:rsidR="00747AF9">
        <w:rPr>
          <w:sz w:val="22"/>
          <w:szCs w:val="22"/>
        </w:rPr>
        <w:t>p</w:t>
      </w:r>
      <w:r w:rsidRPr="00575A6C">
        <w:rPr>
          <w:sz w:val="22"/>
          <w:szCs w:val="22"/>
        </w:rPr>
        <w:t xml:space="preserve">ronajímatele, způsobené </w:t>
      </w:r>
      <w:r w:rsidR="00747AF9">
        <w:rPr>
          <w:sz w:val="22"/>
          <w:szCs w:val="22"/>
        </w:rPr>
        <w:t>n</w:t>
      </w:r>
      <w:r w:rsidRPr="00575A6C">
        <w:rPr>
          <w:sz w:val="22"/>
          <w:szCs w:val="22"/>
        </w:rPr>
        <w:t>ájemcem nebo osobami zdržujícími se v </w:t>
      </w:r>
      <w:r w:rsidR="00747AF9">
        <w:rPr>
          <w:sz w:val="22"/>
          <w:szCs w:val="22"/>
        </w:rPr>
        <w:t>p</w:t>
      </w:r>
      <w:r w:rsidRPr="00575A6C">
        <w:rPr>
          <w:sz w:val="22"/>
          <w:szCs w:val="22"/>
        </w:rPr>
        <w:t xml:space="preserve">ředmětu nájmu s jeho souhlasem. O předání a převzetí a vrácení a převzetí </w:t>
      </w:r>
      <w:r w:rsidR="00747AF9">
        <w:rPr>
          <w:sz w:val="22"/>
          <w:szCs w:val="22"/>
        </w:rPr>
        <w:t>p</w:t>
      </w:r>
      <w:r w:rsidRPr="00575A6C">
        <w:rPr>
          <w:sz w:val="22"/>
          <w:szCs w:val="22"/>
        </w:rPr>
        <w:t xml:space="preserve">ředmětu nájmu bude </w:t>
      </w:r>
      <w:r w:rsidR="00747AF9">
        <w:rPr>
          <w:sz w:val="22"/>
          <w:szCs w:val="22"/>
        </w:rPr>
        <w:t>s</w:t>
      </w:r>
      <w:r w:rsidRPr="00575A6C">
        <w:rPr>
          <w:sz w:val="22"/>
          <w:szCs w:val="22"/>
        </w:rPr>
        <w:t xml:space="preserve">mluvními stranami sepsán předávací protokol, který bude řádně vyplněný a podepsaný </w:t>
      </w:r>
      <w:r w:rsidR="00F713BE">
        <w:rPr>
          <w:sz w:val="22"/>
          <w:szCs w:val="22"/>
        </w:rPr>
        <w:t>oprávněnými zástupci obou smluvních stran.</w:t>
      </w:r>
    </w:p>
    <w:p w14:paraId="14E61576" w14:textId="77777777" w:rsidR="00DA56D3" w:rsidRPr="00575A6C" w:rsidRDefault="00DA56D3" w:rsidP="00DA56D3">
      <w:pPr>
        <w:ind w:left="720" w:hanging="360"/>
        <w:jc w:val="both"/>
        <w:rPr>
          <w:sz w:val="22"/>
          <w:szCs w:val="22"/>
        </w:rPr>
      </w:pPr>
    </w:p>
    <w:p w14:paraId="59D215D9" w14:textId="0D03932D" w:rsidR="00DA56D3" w:rsidRPr="00575A6C" w:rsidRDefault="00DA56D3" w:rsidP="00DA56D3">
      <w:pPr>
        <w:numPr>
          <w:ilvl w:val="0"/>
          <w:numId w:val="1"/>
        </w:numPr>
        <w:jc w:val="both"/>
        <w:rPr>
          <w:sz w:val="22"/>
          <w:szCs w:val="22"/>
        </w:rPr>
      </w:pPr>
      <w:r w:rsidRPr="00575A6C">
        <w:rPr>
          <w:sz w:val="22"/>
          <w:szCs w:val="22"/>
        </w:rPr>
        <w:t xml:space="preserve">Nájemce zajistí pořadatelskou službu, která bude vést prezentaci návštěvníků jeho akce po celou dobu jejího konání. Pořadatelská služba musí být ve vstupním vestibulu budovy, případně u vstupu do </w:t>
      </w:r>
      <w:r w:rsidR="00747AF9">
        <w:rPr>
          <w:sz w:val="22"/>
          <w:szCs w:val="22"/>
        </w:rPr>
        <w:t>p</w:t>
      </w:r>
      <w:r w:rsidRPr="00575A6C">
        <w:rPr>
          <w:sz w:val="22"/>
          <w:szCs w:val="22"/>
        </w:rPr>
        <w:t xml:space="preserve">ředmětu nájmu. Pořadatelská služba umožní vstup pouze účastníkům akce </w:t>
      </w:r>
      <w:r w:rsidR="00747AF9">
        <w:rPr>
          <w:sz w:val="22"/>
          <w:szCs w:val="22"/>
        </w:rPr>
        <w:t>n</w:t>
      </w:r>
      <w:r w:rsidRPr="00575A6C">
        <w:rPr>
          <w:sz w:val="22"/>
          <w:szCs w:val="22"/>
        </w:rPr>
        <w:t>ájemce.</w:t>
      </w:r>
    </w:p>
    <w:p w14:paraId="6B9D18B2" w14:textId="77777777" w:rsidR="00DA56D3" w:rsidRPr="00575A6C" w:rsidRDefault="00DA56D3" w:rsidP="00DA56D3">
      <w:pPr>
        <w:ind w:left="720" w:hanging="360"/>
        <w:jc w:val="both"/>
        <w:rPr>
          <w:sz w:val="22"/>
          <w:szCs w:val="22"/>
        </w:rPr>
      </w:pPr>
    </w:p>
    <w:p w14:paraId="04C94FF7" w14:textId="040DA919" w:rsidR="00DA56D3" w:rsidRPr="00575A6C" w:rsidRDefault="00DA56D3" w:rsidP="00DA56D3">
      <w:pPr>
        <w:numPr>
          <w:ilvl w:val="0"/>
          <w:numId w:val="1"/>
        </w:numPr>
        <w:tabs>
          <w:tab w:val="num" w:pos="0"/>
        </w:tabs>
        <w:jc w:val="both"/>
        <w:rPr>
          <w:sz w:val="22"/>
          <w:szCs w:val="22"/>
        </w:rPr>
      </w:pPr>
      <w:r w:rsidRPr="00575A6C">
        <w:rPr>
          <w:sz w:val="22"/>
          <w:szCs w:val="22"/>
        </w:rPr>
        <w:t xml:space="preserve">Nájemce je povinen chránit </w:t>
      </w:r>
      <w:r w:rsidR="00747AF9">
        <w:rPr>
          <w:sz w:val="22"/>
          <w:szCs w:val="22"/>
        </w:rPr>
        <w:t>p</w:t>
      </w:r>
      <w:r w:rsidRPr="00575A6C">
        <w:rPr>
          <w:sz w:val="22"/>
          <w:szCs w:val="22"/>
        </w:rPr>
        <w:t>ředmět nájmu tak, aby svým jednáním nezpůsobil škodu na zdraví, majetku a životním prostředí a aby nezavdal příčinu vzniku požáru, neohrozil život a zdraví osob, zvířat a majetek, podle zákona č. 133/1985 Sb., o požární ochraně, ve znění pozdějších předpisů. Nájemce je povinen věnovat zvýšenou pozornost zajištění bezpečnosti při akcích, u nichž hrozí nebezpečí vzniku požáru, nebo kde dojde ke shromažďování více jak 50 osob.</w:t>
      </w:r>
    </w:p>
    <w:p w14:paraId="3A0D6E67" w14:textId="77777777" w:rsidR="00DA56D3" w:rsidRPr="00575A6C" w:rsidRDefault="00DA56D3" w:rsidP="00DA56D3">
      <w:pPr>
        <w:ind w:left="720" w:hanging="360"/>
        <w:jc w:val="both"/>
        <w:rPr>
          <w:sz w:val="22"/>
          <w:szCs w:val="22"/>
        </w:rPr>
      </w:pPr>
    </w:p>
    <w:p w14:paraId="30513DAF" w14:textId="77777777" w:rsidR="00DA56D3" w:rsidRPr="00575A6C" w:rsidRDefault="00DA56D3" w:rsidP="00DA56D3">
      <w:pPr>
        <w:numPr>
          <w:ilvl w:val="0"/>
          <w:numId w:val="1"/>
        </w:numPr>
        <w:tabs>
          <w:tab w:val="num" w:pos="0"/>
        </w:tabs>
        <w:jc w:val="both"/>
        <w:rPr>
          <w:sz w:val="22"/>
          <w:szCs w:val="22"/>
        </w:rPr>
      </w:pPr>
      <w:r w:rsidRPr="00575A6C">
        <w:rPr>
          <w:sz w:val="22"/>
          <w:szCs w:val="22"/>
        </w:rPr>
        <w:t>Pronajímatel je oprávněn kdykoliv po dobu konání akce provést kontrolu dodržování předpisů k zajištění bezpečnosti osob a požární ochraně.</w:t>
      </w:r>
    </w:p>
    <w:p w14:paraId="37B83B5D" w14:textId="77777777" w:rsidR="00DA56D3" w:rsidRPr="00575A6C" w:rsidRDefault="00DA56D3" w:rsidP="00DA56D3">
      <w:pPr>
        <w:ind w:left="720" w:hanging="360"/>
        <w:jc w:val="both"/>
        <w:rPr>
          <w:sz w:val="22"/>
          <w:szCs w:val="22"/>
        </w:rPr>
      </w:pPr>
    </w:p>
    <w:p w14:paraId="31CA41FE" w14:textId="182CA137" w:rsidR="00DA56D3" w:rsidRPr="00575A6C" w:rsidRDefault="00DA56D3" w:rsidP="00DA56D3">
      <w:pPr>
        <w:numPr>
          <w:ilvl w:val="0"/>
          <w:numId w:val="1"/>
        </w:numPr>
        <w:jc w:val="both"/>
        <w:rPr>
          <w:sz w:val="22"/>
          <w:szCs w:val="22"/>
        </w:rPr>
      </w:pPr>
      <w:r w:rsidRPr="00575A6C">
        <w:rPr>
          <w:sz w:val="22"/>
          <w:szCs w:val="22"/>
        </w:rPr>
        <w:t xml:space="preserve">Za porušení povinností uvedených pod </w:t>
      </w:r>
      <w:r w:rsidR="00C41ADE">
        <w:rPr>
          <w:sz w:val="22"/>
          <w:szCs w:val="22"/>
        </w:rPr>
        <w:t>odstavcem</w:t>
      </w:r>
      <w:r w:rsidR="00C41ADE" w:rsidRPr="00575A6C">
        <w:rPr>
          <w:sz w:val="22"/>
          <w:szCs w:val="22"/>
        </w:rPr>
        <w:t xml:space="preserve"> </w:t>
      </w:r>
      <w:r w:rsidRPr="00575A6C">
        <w:rPr>
          <w:sz w:val="22"/>
          <w:szCs w:val="22"/>
        </w:rPr>
        <w:t xml:space="preserve">5. a 6. </w:t>
      </w:r>
      <w:r w:rsidR="00747AF9">
        <w:rPr>
          <w:sz w:val="22"/>
          <w:szCs w:val="22"/>
        </w:rPr>
        <w:t>s</w:t>
      </w:r>
      <w:r w:rsidRPr="00575A6C">
        <w:rPr>
          <w:sz w:val="22"/>
          <w:szCs w:val="22"/>
        </w:rPr>
        <w:t xml:space="preserve">mlouvy sjednávají </w:t>
      </w:r>
      <w:r w:rsidR="00747AF9">
        <w:rPr>
          <w:sz w:val="22"/>
          <w:szCs w:val="22"/>
        </w:rPr>
        <w:t>s</w:t>
      </w:r>
      <w:r w:rsidRPr="00575A6C">
        <w:rPr>
          <w:sz w:val="22"/>
          <w:szCs w:val="22"/>
        </w:rPr>
        <w:t>mluvní strany smluvní pokutu ve výši 10</w:t>
      </w:r>
      <w:r w:rsidR="00C11280">
        <w:rPr>
          <w:sz w:val="22"/>
          <w:szCs w:val="22"/>
        </w:rPr>
        <w:t xml:space="preserve"> </w:t>
      </w:r>
      <w:r w:rsidRPr="00575A6C">
        <w:rPr>
          <w:sz w:val="22"/>
          <w:szCs w:val="22"/>
        </w:rPr>
        <w:t>000,</w:t>
      </w:r>
      <w:r w:rsidR="00C41ADE">
        <w:rPr>
          <w:sz w:val="22"/>
          <w:szCs w:val="22"/>
        </w:rPr>
        <w:t>00</w:t>
      </w:r>
      <w:r w:rsidRPr="00575A6C">
        <w:rPr>
          <w:sz w:val="22"/>
          <w:szCs w:val="22"/>
        </w:rPr>
        <w:t xml:space="preserve"> Kč (slovy deset</w:t>
      </w:r>
      <w:r w:rsidR="00C41ADE">
        <w:rPr>
          <w:sz w:val="22"/>
          <w:szCs w:val="22"/>
        </w:rPr>
        <w:t xml:space="preserve"> </w:t>
      </w:r>
      <w:r w:rsidRPr="00575A6C">
        <w:rPr>
          <w:sz w:val="22"/>
          <w:szCs w:val="22"/>
        </w:rPr>
        <w:t>tisíc</w:t>
      </w:r>
      <w:r w:rsidR="00C41ADE">
        <w:rPr>
          <w:sz w:val="22"/>
          <w:szCs w:val="22"/>
        </w:rPr>
        <w:t xml:space="preserve"> </w:t>
      </w:r>
      <w:r w:rsidRPr="00575A6C">
        <w:rPr>
          <w:sz w:val="22"/>
          <w:szCs w:val="22"/>
        </w:rPr>
        <w:t>korun</w:t>
      </w:r>
      <w:r w:rsidR="00C41ADE">
        <w:rPr>
          <w:sz w:val="22"/>
          <w:szCs w:val="22"/>
        </w:rPr>
        <w:t xml:space="preserve"> </w:t>
      </w:r>
      <w:r w:rsidRPr="00575A6C">
        <w:rPr>
          <w:sz w:val="22"/>
          <w:szCs w:val="22"/>
        </w:rPr>
        <w:t xml:space="preserve">českých). </w:t>
      </w:r>
      <w:r w:rsidR="002F2C58" w:rsidRPr="002F2C58">
        <w:rPr>
          <w:sz w:val="22"/>
          <w:szCs w:val="22"/>
        </w:rPr>
        <w:t xml:space="preserve">V případě prodlení </w:t>
      </w:r>
      <w:r w:rsidR="002F2C58">
        <w:rPr>
          <w:sz w:val="22"/>
          <w:szCs w:val="22"/>
        </w:rPr>
        <w:t>nájemce</w:t>
      </w:r>
      <w:r w:rsidR="002F2C58" w:rsidRPr="002F2C58">
        <w:rPr>
          <w:sz w:val="22"/>
          <w:szCs w:val="22"/>
        </w:rPr>
        <w:t xml:space="preserve"> s předáním předmětu </w:t>
      </w:r>
      <w:r w:rsidR="002F2C58">
        <w:rPr>
          <w:sz w:val="22"/>
          <w:szCs w:val="22"/>
        </w:rPr>
        <w:t>nájmu</w:t>
      </w:r>
      <w:r w:rsidR="002F2C58" w:rsidRPr="002F2C58">
        <w:rPr>
          <w:sz w:val="22"/>
          <w:szCs w:val="22"/>
        </w:rPr>
        <w:t xml:space="preserve"> dle odst. </w:t>
      </w:r>
      <w:r w:rsidR="002F2C58">
        <w:rPr>
          <w:sz w:val="22"/>
          <w:szCs w:val="22"/>
        </w:rPr>
        <w:t>4</w:t>
      </w:r>
      <w:r w:rsidR="00A37ACE">
        <w:rPr>
          <w:sz w:val="22"/>
          <w:szCs w:val="22"/>
        </w:rPr>
        <w:t>.</w:t>
      </w:r>
      <w:r w:rsidR="002F2C58" w:rsidRPr="002F2C58">
        <w:rPr>
          <w:sz w:val="22"/>
          <w:szCs w:val="22"/>
        </w:rPr>
        <w:t xml:space="preserve"> smlouvy do jedné hodiny po skončení akce, je </w:t>
      </w:r>
      <w:r w:rsidR="002F2C58">
        <w:rPr>
          <w:sz w:val="22"/>
          <w:szCs w:val="22"/>
        </w:rPr>
        <w:t>pronajímatel</w:t>
      </w:r>
      <w:r w:rsidR="002F2C58" w:rsidRPr="002F2C58">
        <w:rPr>
          <w:sz w:val="22"/>
          <w:szCs w:val="22"/>
        </w:rPr>
        <w:t xml:space="preserve"> oprávněn účtovat smluvní pokutu ve výši 20</w:t>
      </w:r>
      <w:r w:rsidR="00C11280">
        <w:rPr>
          <w:sz w:val="22"/>
          <w:szCs w:val="22"/>
        </w:rPr>
        <w:t xml:space="preserve"> </w:t>
      </w:r>
      <w:r w:rsidR="002F2C58" w:rsidRPr="002F2C58">
        <w:rPr>
          <w:sz w:val="22"/>
          <w:szCs w:val="22"/>
        </w:rPr>
        <w:t>000,00 Kč za každou započatou hodinu prodlení</w:t>
      </w:r>
      <w:r w:rsidR="00D860CA">
        <w:rPr>
          <w:sz w:val="22"/>
          <w:szCs w:val="22"/>
        </w:rPr>
        <w:t xml:space="preserve"> </w:t>
      </w:r>
      <w:r w:rsidR="00AE4C0C">
        <w:rPr>
          <w:sz w:val="22"/>
          <w:szCs w:val="22"/>
        </w:rPr>
        <w:t>s</w:t>
      </w:r>
      <w:r w:rsidR="00D860CA">
        <w:rPr>
          <w:sz w:val="22"/>
          <w:szCs w:val="22"/>
        </w:rPr>
        <w:t>e splnění této povinnosti</w:t>
      </w:r>
      <w:r w:rsidR="002F2C58" w:rsidRPr="002F2C58">
        <w:rPr>
          <w:sz w:val="22"/>
          <w:szCs w:val="22"/>
        </w:rPr>
        <w:t>. Nárok na úhradu smluvní pokuty je splatný ve lhůtě 14–ti dnů od okamžiku doručení výzvy k zaplacení vyúčtované smluvní pokuty. Tato smluvní pokuta se nedotýká práva na náhradu škody.</w:t>
      </w:r>
    </w:p>
    <w:p w14:paraId="375273A2" w14:textId="77777777" w:rsidR="00DA56D3" w:rsidRPr="00575A6C" w:rsidRDefault="00DA56D3" w:rsidP="00DA56D3">
      <w:pPr>
        <w:ind w:left="720" w:hanging="360"/>
        <w:jc w:val="both"/>
        <w:rPr>
          <w:sz w:val="22"/>
          <w:szCs w:val="22"/>
        </w:rPr>
      </w:pPr>
    </w:p>
    <w:p w14:paraId="712AD6D4" w14:textId="67B81F87" w:rsidR="00DA56D3" w:rsidRPr="00575A6C" w:rsidRDefault="00DA56D3" w:rsidP="00DA56D3">
      <w:pPr>
        <w:numPr>
          <w:ilvl w:val="0"/>
          <w:numId w:val="1"/>
        </w:numPr>
        <w:tabs>
          <w:tab w:val="num" w:pos="0"/>
        </w:tabs>
        <w:jc w:val="both"/>
        <w:rPr>
          <w:sz w:val="22"/>
          <w:szCs w:val="22"/>
        </w:rPr>
      </w:pPr>
      <w:r w:rsidRPr="00575A6C">
        <w:rPr>
          <w:sz w:val="22"/>
          <w:szCs w:val="22"/>
        </w:rPr>
        <w:t xml:space="preserve">Smluvní strany výslovně souhlasí s tím, aby byla </w:t>
      </w:r>
      <w:r w:rsidR="00747AF9">
        <w:rPr>
          <w:sz w:val="22"/>
          <w:szCs w:val="22"/>
        </w:rPr>
        <w:t>s</w:t>
      </w:r>
      <w:r w:rsidR="00C41ADE">
        <w:rPr>
          <w:sz w:val="22"/>
          <w:szCs w:val="22"/>
        </w:rPr>
        <w:t>mlouva</w:t>
      </w:r>
      <w:r w:rsidRPr="00575A6C">
        <w:rPr>
          <w:sz w:val="22"/>
          <w:szCs w:val="22"/>
        </w:rPr>
        <w:t xml:space="preserve"> uvedena v Centrální evidenci smluv (CES) vedené </w:t>
      </w:r>
      <w:r w:rsidR="00747AF9">
        <w:rPr>
          <w:sz w:val="22"/>
          <w:szCs w:val="22"/>
        </w:rPr>
        <w:t>p</w:t>
      </w:r>
      <w:r w:rsidR="00C41ADE">
        <w:rPr>
          <w:sz w:val="22"/>
          <w:szCs w:val="22"/>
        </w:rPr>
        <w:t>ronajímatelem</w:t>
      </w:r>
      <w:r w:rsidRPr="00575A6C">
        <w:rPr>
          <w:sz w:val="22"/>
          <w:szCs w:val="22"/>
        </w:rPr>
        <w:t xml:space="preserve">, která je veřejně přístupná a která obsahuje údaje o </w:t>
      </w:r>
      <w:r w:rsidR="00747AF9">
        <w:rPr>
          <w:sz w:val="22"/>
          <w:szCs w:val="22"/>
        </w:rPr>
        <w:t>s</w:t>
      </w:r>
      <w:r w:rsidRPr="00575A6C">
        <w:rPr>
          <w:sz w:val="22"/>
          <w:szCs w:val="22"/>
        </w:rPr>
        <w:t xml:space="preserve">mluvních stranách, </w:t>
      </w:r>
      <w:r w:rsidR="00C41ADE">
        <w:rPr>
          <w:sz w:val="22"/>
          <w:szCs w:val="22"/>
        </w:rPr>
        <w:t xml:space="preserve">číselném označení </w:t>
      </w:r>
      <w:r w:rsidR="00747AF9">
        <w:rPr>
          <w:sz w:val="22"/>
          <w:szCs w:val="22"/>
        </w:rPr>
        <w:t>s</w:t>
      </w:r>
      <w:r w:rsidR="00C41ADE">
        <w:rPr>
          <w:sz w:val="22"/>
          <w:szCs w:val="22"/>
        </w:rPr>
        <w:t xml:space="preserve">mlouvy, </w:t>
      </w:r>
      <w:r w:rsidRPr="00575A6C">
        <w:rPr>
          <w:sz w:val="22"/>
          <w:szCs w:val="22"/>
        </w:rPr>
        <w:t>datu jejího podpisu</w:t>
      </w:r>
      <w:r w:rsidR="00C41ADE">
        <w:rPr>
          <w:sz w:val="22"/>
          <w:szCs w:val="22"/>
        </w:rPr>
        <w:t xml:space="preserve"> a text </w:t>
      </w:r>
      <w:r w:rsidR="00747AF9">
        <w:rPr>
          <w:sz w:val="22"/>
          <w:szCs w:val="22"/>
        </w:rPr>
        <w:t>s</w:t>
      </w:r>
      <w:r w:rsidR="00C41ADE">
        <w:rPr>
          <w:sz w:val="22"/>
          <w:szCs w:val="22"/>
        </w:rPr>
        <w:t>mlouvy</w:t>
      </w:r>
      <w:r w:rsidRPr="00575A6C">
        <w:rPr>
          <w:sz w:val="22"/>
          <w:szCs w:val="22"/>
        </w:rPr>
        <w:t>.</w:t>
      </w:r>
    </w:p>
    <w:p w14:paraId="13808013" w14:textId="77777777" w:rsidR="00DA56D3" w:rsidRPr="00575A6C" w:rsidRDefault="00DA56D3" w:rsidP="00DA56D3">
      <w:pPr>
        <w:pStyle w:val="Odstavecseseznamem"/>
        <w:rPr>
          <w:sz w:val="22"/>
          <w:szCs w:val="22"/>
        </w:rPr>
      </w:pPr>
    </w:p>
    <w:p w14:paraId="43BE1286" w14:textId="252DA1D9" w:rsidR="00DA56D3" w:rsidRPr="00575A6C" w:rsidRDefault="008C130D" w:rsidP="00DA56D3">
      <w:pPr>
        <w:numPr>
          <w:ilvl w:val="0"/>
          <w:numId w:val="1"/>
        </w:numPr>
        <w:jc w:val="both"/>
        <w:rPr>
          <w:sz w:val="22"/>
          <w:szCs w:val="22"/>
        </w:rPr>
      </w:pPr>
      <w:r w:rsidRPr="00AE7AFC">
        <w:rPr>
          <w:sz w:val="22"/>
          <w:szCs w:val="22"/>
        </w:rPr>
        <w:t>V případě, že vzniká povinnost smlouvu uveřejnit v registru smluv</w:t>
      </w:r>
      <w:r>
        <w:rPr>
          <w:sz w:val="22"/>
          <w:szCs w:val="22"/>
        </w:rPr>
        <w:t>, s</w:t>
      </w:r>
      <w:r w:rsidR="00DA56D3" w:rsidRPr="00575A6C">
        <w:rPr>
          <w:sz w:val="22"/>
          <w:szCs w:val="22"/>
        </w:rPr>
        <w:t xml:space="preserve">mluvní strany výslovně sjednávají, že uveřejnění </w:t>
      </w:r>
      <w:r w:rsidR="00747AF9">
        <w:rPr>
          <w:sz w:val="22"/>
          <w:szCs w:val="22"/>
        </w:rPr>
        <w:t>s</w:t>
      </w:r>
      <w:r w:rsidR="00DA56D3" w:rsidRPr="00575A6C">
        <w:rPr>
          <w:sz w:val="22"/>
          <w:szCs w:val="22"/>
        </w:rPr>
        <w:t>mlouvy v registru smluv dle zákona č. 340/2015 Sb., o zvláštních podmínkách účinnosti některých smluv, uveřejňování těchto smluv a o registru smluv</w:t>
      </w:r>
      <w:r w:rsidR="00C41ADE">
        <w:rPr>
          <w:sz w:val="22"/>
          <w:szCs w:val="22"/>
        </w:rPr>
        <w:t>, ve znění pozdějších předpisů</w:t>
      </w:r>
      <w:r w:rsidR="00DA56D3" w:rsidRPr="00575A6C">
        <w:rPr>
          <w:sz w:val="22"/>
          <w:szCs w:val="22"/>
        </w:rPr>
        <w:t xml:space="preserve"> (zákon o registru smluv) zajistí </w:t>
      </w:r>
      <w:r w:rsidR="00747AF9">
        <w:rPr>
          <w:sz w:val="22"/>
          <w:szCs w:val="22"/>
        </w:rPr>
        <w:t>p</w:t>
      </w:r>
      <w:r w:rsidR="00DA56D3" w:rsidRPr="00575A6C">
        <w:rPr>
          <w:sz w:val="22"/>
          <w:szCs w:val="22"/>
        </w:rPr>
        <w:t>ronajímatel.</w:t>
      </w:r>
    </w:p>
    <w:p w14:paraId="6DD96C4E" w14:textId="77777777" w:rsidR="00DA56D3" w:rsidRPr="00575A6C" w:rsidRDefault="00DA56D3" w:rsidP="00DA56D3">
      <w:pPr>
        <w:ind w:left="720" w:hanging="360"/>
        <w:jc w:val="both"/>
        <w:rPr>
          <w:sz w:val="22"/>
          <w:szCs w:val="22"/>
        </w:rPr>
      </w:pPr>
    </w:p>
    <w:p w14:paraId="491CCD11" w14:textId="61745A46" w:rsidR="00DA56D3" w:rsidRPr="00575A6C" w:rsidRDefault="00DA56D3" w:rsidP="00DA56D3">
      <w:pPr>
        <w:numPr>
          <w:ilvl w:val="0"/>
          <w:numId w:val="1"/>
        </w:numPr>
        <w:tabs>
          <w:tab w:val="num" w:pos="0"/>
        </w:tabs>
        <w:jc w:val="both"/>
        <w:rPr>
          <w:sz w:val="22"/>
          <w:szCs w:val="22"/>
        </w:rPr>
      </w:pPr>
      <w:r w:rsidRPr="00575A6C">
        <w:rPr>
          <w:sz w:val="22"/>
          <w:szCs w:val="22"/>
        </w:rPr>
        <w:t>Smluvní strany prohlašují, že skutečnosti uvedené ve </w:t>
      </w:r>
      <w:r w:rsidR="00747AF9">
        <w:rPr>
          <w:sz w:val="22"/>
          <w:szCs w:val="22"/>
        </w:rPr>
        <w:t>s</w:t>
      </w:r>
      <w:r w:rsidRPr="00575A6C">
        <w:rPr>
          <w:sz w:val="22"/>
          <w:szCs w:val="22"/>
        </w:rPr>
        <w:t>mlouvě nepovažují za obchodní   tajemství ve smyslu § 504 OZ a udělují svolení k jejich užití a zveřejnění bez stanovení jakýchkoli dalších podmínek.</w:t>
      </w:r>
    </w:p>
    <w:p w14:paraId="70F3F232" w14:textId="77777777" w:rsidR="00DA56D3" w:rsidRPr="00575A6C" w:rsidRDefault="00DA56D3" w:rsidP="00DA56D3">
      <w:pPr>
        <w:ind w:left="720" w:hanging="360"/>
        <w:jc w:val="both"/>
        <w:rPr>
          <w:sz w:val="22"/>
          <w:szCs w:val="22"/>
        </w:rPr>
      </w:pPr>
    </w:p>
    <w:p w14:paraId="4F5A7F2C" w14:textId="64CF662D" w:rsidR="00DA56D3" w:rsidRDefault="00DA56D3" w:rsidP="00AF62DE">
      <w:pPr>
        <w:numPr>
          <w:ilvl w:val="0"/>
          <w:numId w:val="1"/>
        </w:numPr>
        <w:jc w:val="both"/>
        <w:rPr>
          <w:sz w:val="22"/>
          <w:szCs w:val="22"/>
        </w:rPr>
      </w:pPr>
      <w:r w:rsidRPr="00C00F46">
        <w:rPr>
          <w:sz w:val="22"/>
          <w:szCs w:val="22"/>
        </w:rPr>
        <w:lastRenderedPageBreak/>
        <w:t xml:space="preserve">Smlouva nabývá platnosti dnem jejího podpisu oběma </w:t>
      </w:r>
      <w:r w:rsidR="00747AF9" w:rsidRPr="00C00F46">
        <w:rPr>
          <w:sz w:val="22"/>
          <w:szCs w:val="22"/>
        </w:rPr>
        <w:t>s</w:t>
      </w:r>
      <w:r w:rsidRPr="00C00F46">
        <w:rPr>
          <w:sz w:val="22"/>
          <w:szCs w:val="22"/>
        </w:rPr>
        <w:t xml:space="preserve">mluvními stranami a účinnosti dnem jejího uveřejnění prostřednictvím registru smluv dle odst. 10. </w:t>
      </w:r>
      <w:r w:rsidR="00747AF9" w:rsidRPr="00C00F46">
        <w:rPr>
          <w:sz w:val="22"/>
          <w:szCs w:val="22"/>
        </w:rPr>
        <w:t>s</w:t>
      </w:r>
      <w:r w:rsidRPr="00C00F46">
        <w:rPr>
          <w:sz w:val="22"/>
          <w:szCs w:val="22"/>
        </w:rPr>
        <w:t xml:space="preserve">mlouvy. Od okamžiku podpisu </w:t>
      </w:r>
      <w:r w:rsidR="00747AF9" w:rsidRPr="00C00F46">
        <w:rPr>
          <w:sz w:val="22"/>
          <w:szCs w:val="22"/>
        </w:rPr>
        <w:t>s</w:t>
      </w:r>
      <w:r w:rsidRPr="00C00F46">
        <w:rPr>
          <w:sz w:val="22"/>
          <w:szCs w:val="22"/>
        </w:rPr>
        <w:t xml:space="preserve">mlouvy jsou </w:t>
      </w:r>
      <w:r w:rsidR="00747AF9" w:rsidRPr="00C00F46">
        <w:rPr>
          <w:sz w:val="22"/>
          <w:szCs w:val="22"/>
        </w:rPr>
        <w:t>s</w:t>
      </w:r>
      <w:r w:rsidRPr="00C00F46">
        <w:rPr>
          <w:sz w:val="22"/>
          <w:szCs w:val="22"/>
        </w:rPr>
        <w:t>mluvní strany svými projevy vázán</w:t>
      </w:r>
      <w:r w:rsidR="00C41ADE" w:rsidRPr="00C00F46">
        <w:rPr>
          <w:sz w:val="22"/>
          <w:szCs w:val="22"/>
        </w:rPr>
        <w:t>y</w:t>
      </w:r>
      <w:r w:rsidR="00C00F46">
        <w:rPr>
          <w:sz w:val="22"/>
          <w:szCs w:val="22"/>
        </w:rPr>
        <w:t>.</w:t>
      </w:r>
    </w:p>
    <w:p w14:paraId="3A76DF22" w14:textId="77777777" w:rsidR="00C00F46" w:rsidRDefault="00C00F46" w:rsidP="00C00F46">
      <w:pPr>
        <w:pStyle w:val="Odstavecseseznamem"/>
        <w:rPr>
          <w:sz w:val="22"/>
          <w:szCs w:val="22"/>
        </w:rPr>
      </w:pPr>
    </w:p>
    <w:p w14:paraId="038FB09B" w14:textId="77777777" w:rsidR="00C00F46" w:rsidRPr="00C00F46" w:rsidRDefault="00C00F46" w:rsidP="006B2448">
      <w:pPr>
        <w:ind w:left="720"/>
        <w:jc w:val="both"/>
        <w:rPr>
          <w:sz w:val="22"/>
          <w:szCs w:val="22"/>
        </w:rPr>
      </w:pPr>
    </w:p>
    <w:p w14:paraId="5DCDAA54" w14:textId="3EE23E22" w:rsidR="00DA56D3" w:rsidRDefault="00DA56D3" w:rsidP="00DA56D3">
      <w:pPr>
        <w:numPr>
          <w:ilvl w:val="0"/>
          <w:numId w:val="1"/>
        </w:numPr>
        <w:tabs>
          <w:tab w:val="num" w:pos="0"/>
        </w:tabs>
        <w:jc w:val="both"/>
        <w:rPr>
          <w:sz w:val="22"/>
          <w:szCs w:val="22"/>
        </w:rPr>
      </w:pPr>
      <w:r w:rsidRPr="00575A6C">
        <w:rPr>
          <w:sz w:val="22"/>
          <w:szCs w:val="22"/>
        </w:rPr>
        <w:t xml:space="preserve">Smluvní strany sjednávají, že každá z nich může od </w:t>
      </w:r>
      <w:r w:rsidR="00747AF9">
        <w:rPr>
          <w:sz w:val="22"/>
          <w:szCs w:val="22"/>
        </w:rPr>
        <w:t>s</w:t>
      </w:r>
      <w:r w:rsidRPr="00575A6C">
        <w:rPr>
          <w:sz w:val="22"/>
          <w:szCs w:val="22"/>
        </w:rPr>
        <w:t>mlouvy kdykoliv jednostranně odstoupit, a to nejpozději do 3 pracovních dnů přede dnem, který byl sjednán jako počátek užívání nájmu</w:t>
      </w:r>
      <w:r w:rsidR="00747AF9">
        <w:rPr>
          <w:sz w:val="22"/>
          <w:szCs w:val="22"/>
        </w:rPr>
        <w:t>.</w:t>
      </w:r>
    </w:p>
    <w:p w14:paraId="087674F9" w14:textId="77777777" w:rsidR="00BC547A" w:rsidRDefault="00BC547A" w:rsidP="00BC547A">
      <w:pPr>
        <w:ind w:left="720"/>
        <w:jc w:val="both"/>
        <w:rPr>
          <w:sz w:val="22"/>
          <w:szCs w:val="22"/>
        </w:rPr>
      </w:pPr>
    </w:p>
    <w:p w14:paraId="3B50E3BD" w14:textId="77777777" w:rsidR="00BC547A" w:rsidRDefault="00BC547A" w:rsidP="00BC547A">
      <w:pPr>
        <w:numPr>
          <w:ilvl w:val="0"/>
          <w:numId w:val="1"/>
        </w:numPr>
        <w:jc w:val="both"/>
        <w:rPr>
          <w:sz w:val="22"/>
          <w:szCs w:val="22"/>
        </w:rPr>
      </w:pPr>
      <w:r w:rsidRPr="00BF4D6A">
        <w:rPr>
          <w:sz w:val="22"/>
          <w:szCs w:val="22"/>
        </w:rPr>
        <w:t>V souladu s nařízením Evropského parlamentu a Rady EU 2016/679 ze dne 27. dubna 2016 o ochraně fyzických osob v souvislosti se zpracováním osobních údajů a o volném pohybu těchto údajů a o zrušení směrnice 95/46/ES (GDPR) a taktéž v souladu s příslušným nařízením ředitele Magistrátu hl. m. Prahy k zajištění povinnosti uveřejňovat smlouvy prostřednictvím registru smluv nesmí faktura v rozsahu a předmětu plnění obsahovat osobní údaje fyzických osob jako například jméno a příjmení fyzické osoby, datum narození, číslo jejího bankovního účtu a její kontaktní údaje (telefon, e-mail), DIČ fyzické osoby podnikající. V případě, že tyto osobní údaje budou v rozsahu a předmětu plnění faktury uvedeny, musí být následně tyto údaje při zveřejňování informací pro občany v systému otevřených dat a v registru smluv anonymizovány.</w:t>
      </w:r>
    </w:p>
    <w:p w14:paraId="3B51C735" w14:textId="77777777" w:rsidR="00BC547A" w:rsidRDefault="00BC547A" w:rsidP="00BC547A">
      <w:pPr>
        <w:ind w:left="720"/>
        <w:jc w:val="both"/>
        <w:rPr>
          <w:sz w:val="22"/>
          <w:szCs w:val="22"/>
        </w:rPr>
      </w:pPr>
    </w:p>
    <w:p w14:paraId="0C7BE42A" w14:textId="1B2E8F3A" w:rsidR="00DA56D3" w:rsidRPr="00BC547A" w:rsidRDefault="00DA56D3" w:rsidP="00BC547A">
      <w:pPr>
        <w:numPr>
          <w:ilvl w:val="0"/>
          <w:numId w:val="1"/>
        </w:numPr>
        <w:jc w:val="both"/>
        <w:rPr>
          <w:sz w:val="22"/>
          <w:szCs w:val="22"/>
        </w:rPr>
      </w:pPr>
      <w:r w:rsidRPr="00BC547A">
        <w:rPr>
          <w:sz w:val="22"/>
          <w:szCs w:val="22"/>
        </w:rPr>
        <w:t xml:space="preserve">Smlouva se vyhotovuje v 6 </w:t>
      </w:r>
      <w:r w:rsidR="003F4FAF" w:rsidRPr="00BC547A">
        <w:rPr>
          <w:sz w:val="22"/>
          <w:szCs w:val="22"/>
        </w:rPr>
        <w:t>vyhotoveních s platností originálu</w:t>
      </w:r>
      <w:r w:rsidRPr="00BC547A">
        <w:rPr>
          <w:sz w:val="22"/>
          <w:szCs w:val="22"/>
        </w:rPr>
        <w:t>, z </w:t>
      </w:r>
      <w:r w:rsidR="00EC0E4C">
        <w:rPr>
          <w:sz w:val="22"/>
          <w:szCs w:val="22"/>
        </w:rPr>
        <w:t>nichž</w:t>
      </w:r>
      <w:r w:rsidRPr="00BC547A">
        <w:rPr>
          <w:sz w:val="22"/>
          <w:szCs w:val="22"/>
        </w:rPr>
        <w:t xml:space="preserve"> </w:t>
      </w:r>
      <w:r w:rsidR="00747AF9" w:rsidRPr="00BC547A">
        <w:rPr>
          <w:sz w:val="22"/>
          <w:szCs w:val="22"/>
        </w:rPr>
        <w:t>p</w:t>
      </w:r>
      <w:r w:rsidRPr="00BC547A">
        <w:rPr>
          <w:sz w:val="22"/>
          <w:szCs w:val="22"/>
        </w:rPr>
        <w:t>ronajímatel obdrží 5 v</w:t>
      </w:r>
      <w:r w:rsidR="00747AF9" w:rsidRPr="00BC547A">
        <w:rPr>
          <w:sz w:val="22"/>
          <w:szCs w:val="22"/>
        </w:rPr>
        <w:t>y</w:t>
      </w:r>
      <w:r w:rsidR="003F4FAF" w:rsidRPr="00BC547A">
        <w:rPr>
          <w:sz w:val="22"/>
          <w:szCs w:val="22"/>
        </w:rPr>
        <w:t>hotovení</w:t>
      </w:r>
      <w:r w:rsidRPr="00BC547A">
        <w:rPr>
          <w:sz w:val="22"/>
          <w:szCs w:val="22"/>
        </w:rPr>
        <w:t xml:space="preserve"> a </w:t>
      </w:r>
      <w:r w:rsidR="00747AF9" w:rsidRPr="00BC547A">
        <w:rPr>
          <w:sz w:val="22"/>
          <w:szCs w:val="22"/>
        </w:rPr>
        <w:t>n</w:t>
      </w:r>
      <w:r w:rsidRPr="00BC547A">
        <w:rPr>
          <w:sz w:val="22"/>
          <w:szCs w:val="22"/>
        </w:rPr>
        <w:t xml:space="preserve">ájemce 1 </w:t>
      </w:r>
      <w:r w:rsidR="003F4FAF" w:rsidRPr="00BC547A">
        <w:rPr>
          <w:sz w:val="22"/>
          <w:szCs w:val="22"/>
        </w:rPr>
        <w:t>vyhotovení</w:t>
      </w:r>
      <w:r w:rsidRPr="00BC547A">
        <w:rPr>
          <w:sz w:val="22"/>
          <w:szCs w:val="22"/>
        </w:rPr>
        <w:t>.</w:t>
      </w:r>
      <w:r w:rsidR="003F4FAF" w:rsidRPr="003F4FAF">
        <w:t xml:space="preserve"> </w:t>
      </w:r>
      <w:r w:rsidR="003F4FAF" w:rsidRPr="00BC547A">
        <w:rPr>
          <w:sz w:val="22"/>
          <w:szCs w:val="22"/>
        </w:rPr>
        <w:t xml:space="preserve">Předchozí věta neplatí, je-li </w:t>
      </w:r>
      <w:r w:rsidR="00747AF9" w:rsidRPr="00BC547A">
        <w:rPr>
          <w:sz w:val="22"/>
          <w:szCs w:val="22"/>
        </w:rPr>
        <w:t>s</w:t>
      </w:r>
      <w:r w:rsidR="003F4FAF" w:rsidRPr="00BC547A">
        <w:rPr>
          <w:sz w:val="22"/>
          <w:szCs w:val="22"/>
        </w:rPr>
        <w:t xml:space="preserve">mlouva uzavřena v elektronické formě a opatřena uznávanými elektronickými podpisy osob oprávněných za </w:t>
      </w:r>
      <w:r w:rsidR="00747AF9" w:rsidRPr="00BC547A">
        <w:rPr>
          <w:sz w:val="22"/>
          <w:szCs w:val="22"/>
        </w:rPr>
        <w:t>p</w:t>
      </w:r>
      <w:r w:rsidR="003F4FAF" w:rsidRPr="00BC547A">
        <w:rPr>
          <w:sz w:val="22"/>
          <w:szCs w:val="22"/>
        </w:rPr>
        <w:t xml:space="preserve">ronajímatele a </w:t>
      </w:r>
      <w:r w:rsidR="00747AF9" w:rsidRPr="00BC547A">
        <w:rPr>
          <w:sz w:val="22"/>
          <w:szCs w:val="22"/>
        </w:rPr>
        <w:t>n</w:t>
      </w:r>
      <w:r w:rsidR="003F4FAF" w:rsidRPr="00BC547A">
        <w:rPr>
          <w:sz w:val="22"/>
          <w:szCs w:val="22"/>
        </w:rPr>
        <w:t>ájemce jednat, v takovém případě postačí jedno vyhotovení smlouvy.</w:t>
      </w:r>
    </w:p>
    <w:p w14:paraId="07ECE5EB" w14:textId="77777777" w:rsidR="00DA56D3" w:rsidRPr="00575A6C" w:rsidRDefault="00DA56D3" w:rsidP="00DA56D3">
      <w:pPr>
        <w:jc w:val="both"/>
        <w:rPr>
          <w:sz w:val="22"/>
          <w:szCs w:val="22"/>
        </w:rPr>
      </w:pPr>
    </w:p>
    <w:p w14:paraId="367793C1" w14:textId="77777777" w:rsidR="00F92689" w:rsidRDefault="00F92689" w:rsidP="00DA56D3">
      <w:pPr>
        <w:tabs>
          <w:tab w:val="num" w:pos="360"/>
        </w:tabs>
        <w:ind w:left="360" w:hanging="360"/>
        <w:jc w:val="both"/>
        <w:outlineLvl w:val="0"/>
        <w:rPr>
          <w:sz w:val="22"/>
          <w:szCs w:val="22"/>
        </w:rPr>
      </w:pPr>
    </w:p>
    <w:p w14:paraId="263D26DD" w14:textId="34E90374" w:rsidR="00DA56D3" w:rsidRPr="00575A6C" w:rsidRDefault="00DA56D3" w:rsidP="00DA56D3">
      <w:pPr>
        <w:tabs>
          <w:tab w:val="num" w:pos="360"/>
        </w:tabs>
        <w:ind w:left="360" w:hanging="360"/>
        <w:jc w:val="both"/>
        <w:outlineLvl w:val="0"/>
        <w:rPr>
          <w:sz w:val="22"/>
          <w:szCs w:val="22"/>
        </w:rPr>
      </w:pPr>
      <w:r w:rsidRPr="00575A6C">
        <w:rPr>
          <w:sz w:val="22"/>
          <w:szCs w:val="22"/>
        </w:rPr>
        <w:t>V Praze</w:t>
      </w:r>
      <w:r w:rsidR="00DB4321">
        <w:rPr>
          <w:sz w:val="22"/>
          <w:szCs w:val="22"/>
        </w:rPr>
        <w:tab/>
      </w:r>
      <w:r w:rsidR="00932C75">
        <w:rPr>
          <w:sz w:val="22"/>
          <w:szCs w:val="22"/>
        </w:rPr>
        <w:t xml:space="preserve"> 15.1.2024</w:t>
      </w:r>
      <w:r w:rsidR="00DB4321">
        <w:rPr>
          <w:sz w:val="22"/>
          <w:szCs w:val="22"/>
        </w:rPr>
        <w:tab/>
      </w:r>
      <w:r w:rsidR="00DB4321">
        <w:rPr>
          <w:sz w:val="22"/>
          <w:szCs w:val="22"/>
        </w:rPr>
        <w:tab/>
      </w:r>
      <w:r w:rsidR="00DB4321">
        <w:rPr>
          <w:sz w:val="22"/>
          <w:szCs w:val="22"/>
        </w:rPr>
        <w:tab/>
      </w:r>
      <w:r w:rsidR="00DB4321">
        <w:rPr>
          <w:sz w:val="22"/>
          <w:szCs w:val="22"/>
        </w:rPr>
        <w:tab/>
      </w:r>
    </w:p>
    <w:p w14:paraId="1308B27F" w14:textId="77777777" w:rsidR="00DA56D3" w:rsidRPr="00575A6C" w:rsidRDefault="00DA56D3" w:rsidP="00DA56D3">
      <w:pPr>
        <w:jc w:val="both"/>
        <w:rPr>
          <w:sz w:val="22"/>
          <w:szCs w:val="22"/>
        </w:rPr>
      </w:pPr>
    </w:p>
    <w:p w14:paraId="6413E92D" w14:textId="6AE53DA2" w:rsidR="00F92689" w:rsidRDefault="00F92689" w:rsidP="00DA56D3">
      <w:pPr>
        <w:ind w:left="720"/>
        <w:jc w:val="both"/>
        <w:rPr>
          <w:sz w:val="22"/>
          <w:szCs w:val="22"/>
        </w:rPr>
      </w:pPr>
    </w:p>
    <w:p w14:paraId="3BFAE711" w14:textId="77777777" w:rsidR="00FD7A5D" w:rsidRDefault="00FD7A5D" w:rsidP="00DA56D3">
      <w:pPr>
        <w:ind w:left="720"/>
        <w:jc w:val="both"/>
        <w:rPr>
          <w:sz w:val="22"/>
          <w:szCs w:val="22"/>
        </w:rPr>
      </w:pPr>
    </w:p>
    <w:p w14:paraId="63AD821C" w14:textId="77777777" w:rsidR="00FD7A5D" w:rsidRDefault="00FD7A5D" w:rsidP="00DA56D3">
      <w:pPr>
        <w:ind w:left="720"/>
        <w:jc w:val="both"/>
        <w:rPr>
          <w:sz w:val="22"/>
          <w:szCs w:val="22"/>
        </w:rPr>
      </w:pPr>
    </w:p>
    <w:p w14:paraId="777A6B55" w14:textId="2E7482E8" w:rsidR="00F92689" w:rsidRDefault="00F92689" w:rsidP="00DA56D3">
      <w:pPr>
        <w:ind w:left="720"/>
        <w:jc w:val="both"/>
        <w:rPr>
          <w:sz w:val="22"/>
          <w:szCs w:val="22"/>
        </w:rPr>
      </w:pPr>
    </w:p>
    <w:p w14:paraId="46CECED4" w14:textId="77777777" w:rsidR="00F92689" w:rsidRPr="00575A6C" w:rsidRDefault="00F92689" w:rsidP="00DA56D3">
      <w:pPr>
        <w:ind w:left="720"/>
        <w:jc w:val="both"/>
        <w:rPr>
          <w:sz w:val="22"/>
          <w:szCs w:val="22"/>
        </w:rPr>
      </w:pPr>
    </w:p>
    <w:p w14:paraId="57CD5CA5" w14:textId="5C86F3F0" w:rsidR="00DA56D3" w:rsidRPr="00575A6C" w:rsidRDefault="00DA56D3" w:rsidP="00DA56D3">
      <w:pPr>
        <w:jc w:val="both"/>
        <w:rPr>
          <w:sz w:val="22"/>
          <w:szCs w:val="22"/>
        </w:rPr>
      </w:pPr>
      <w:r w:rsidRPr="00575A6C">
        <w:rPr>
          <w:sz w:val="22"/>
          <w:szCs w:val="22"/>
        </w:rPr>
        <w:t xml:space="preserve">…………………………………………                               ……………………………………….                                        </w:t>
      </w:r>
    </w:p>
    <w:p w14:paraId="7C680519" w14:textId="510E807D" w:rsidR="00DA56D3" w:rsidRPr="00575A6C" w:rsidRDefault="00EC0E4C" w:rsidP="001E575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DA56D3" w:rsidRPr="00575A6C">
        <w:rPr>
          <w:sz w:val="22"/>
          <w:szCs w:val="22"/>
        </w:rPr>
        <w:t xml:space="preserve">za </w:t>
      </w:r>
      <w:r w:rsidR="00747AF9">
        <w:rPr>
          <w:sz w:val="22"/>
          <w:szCs w:val="22"/>
        </w:rPr>
        <w:t>p</w:t>
      </w:r>
      <w:r w:rsidR="00DA56D3" w:rsidRPr="00575A6C">
        <w:rPr>
          <w:sz w:val="22"/>
          <w:szCs w:val="22"/>
        </w:rPr>
        <w:t>ronajímatele</w:t>
      </w:r>
      <w:r w:rsidR="0090777A">
        <w:rPr>
          <w:sz w:val="22"/>
          <w:szCs w:val="22"/>
        </w:rPr>
        <w:t>:</w:t>
      </w:r>
      <w:r w:rsidR="0090777A">
        <w:rPr>
          <w:sz w:val="22"/>
          <w:szCs w:val="22"/>
        </w:rPr>
        <w:tab/>
      </w:r>
      <w:r w:rsidR="0090777A">
        <w:rPr>
          <w:sz w:val="22"/>
          <w:szCs w:val="22"/>
        </w:rPr>
        <w:tab/>
      </w:r>
      <w:r w:rsidR="0090777A">
        <w:rPr>
          <w:sz w:val="22"/>
          <w:szCs w:val="22"/>
        </w:rPr>
        <w:tab/>
      </w:r>
      <w:r w:rsidR="0090777A">
        <w:rPr>
          <w:sz w:val="22"/>
          <w:szCs w:val="22"/>
        </w:rPr>
        <w:tab/>
      </w:r>
      <w:r w:rsidR="0090777A">
        <w:rPr>
          <w:sz w:val="22"/>
          <w:szCs w:val="22"/>
        </w:rPr>
        <w:tab/>
      </w:r>
      <w:r>
        <w:rPr>
          <w:sz w:val="22"/>
          <w:szCs w:val="22"/>
        </w:rPr>
        <w:t xml:space="preserve">        z</w:t>
      </w:r>
      <w:r w:rsidR="00DA56D3" w:rsidRPr="00575A6C">
        <w:rPr>
          <w:sz w:val="22"/>
          <w:szCs w:val="22"/>
        </w:rPr>
        <w:t xml:space="preserve">a </w:t>
      </w:r>
      <w:r w:rsidR="00747AF9">
        <w:rPr>
          <w:sz w:val="22"/>
          <w:szCs w:val="22"/>
        </w:rPr>
        <w:t>n</w:t>
      </w:r>
      <w:r w:rsidR="00DA56D3" w:rsidRPr="00575A6C">
        <w:rPr>
          <w:sz w:val="22"/>
          <w:szCs w:val="22"/>
        </w:rPr>
        <w:t>ájemce:</w:t>
      </w:r>
    </w:p>
    <w:p w14:paraId="59E9DF96" w14:textId="237CB712" w:rsidR="00FD7A5D" w:rsidRPr="00FD7A5D" w:rsidRDefault="00FD7A5D" w:rsidP="00FD7A5D">
      <w:pPr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7251AF" w:rsidRPr="007F50DC">
        <w:rPr>
          <w:sz w:val="22"/>
          <w:szCs w:val="22"/>
        </w:rPr>
        <w:t xml:space="preserve">Ing. </w:t>
      </w:r>
      <w:r w:rsidR="007251AF">
        <w:rPr>
          <w:sz w:val="22"/>
          <w:szCs w:val="22"/>
        </w:rPr>
        <w:t xml:space="preserve">Lukáš Stránský </w:t>
      </w:r>
      <w:r w:rsidR="007251AF" w:rsidRPr="007F50DC">
        <w:rPr>
          <w:sz w:val="22"/>
          <w:szCs w:val="22"/>
        </w:rPr>
        <w:t xml:space="preserve"> </w:t>
      </w:r>
      <w:r w:rsidR="007251AF" w:rsidRPr="007F50DC">
        <w:rPr>
          <w:sz w:val="22"/>
          <w:szCs w:val="22"/>
        </w:rPr>
        <w:tab/>
      </w:r>
      <w:r w:rsidR="007251AF" w:rsidRPr="007F50DC">
        <w:rPr>
          <w:sz w:val="22"/>
          <w:szCs w:val="22"/>
        </w:rPr>
        <w:tab/>
      </w:r>
      <w:r w:rsidR="007251AF" w:rsidRPr="007F50DC">
        <w:rPr>
          <w:sz w:val="22"/>
          <w:szCs w:val="22"/>
        </w:rPr>
        <w:tab/>
      </w:r>
      <w:r w:rsidR="007251AF" w:rsidRPr="007F50DC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</w:t>
      </w:r>
      <w:r w:rsidRPr="00FD7A5D">
        <w:rPr>
          <w:sz w:val="22"/>
          <w:szCs w:val="22"/>
        </w:rPr>
        <w:t xml:space="preserve">Petr Suška, MSc., </w:t>
      </w:r>
      <w:r>
        <w:rPr>
          <w:sz w:val="22"/>
          <w:szCs w:val="22"/>
        </w:rPr>
        <w:t xml:space="preserve">                                                              </w:t>
      </w:r>
      <w:r w:rsidR="00745EC5">
        <w:rPr>
          <w:sz w:val="22"/>
          <w:szCs w:val="22"/>
        </w:rPr>
        <w:t xml:space="preserve">    </w:t>
      </w:r>
      <w:r w:rsidR="007251AF">
        <w:rPr>
          <w:sz w:val="22"/>
          <w:szCs w:val="22"/>
        </w:rPr>
        <w:t>ředitel odboru služeb</w:t>
      </w:r>
      <w:r w:rsidR="00EC0E4C">
        <w:rPr>
          <w:sz w:val="22"/>
          <w:szCs w:val="22"/>
        </w:rPr>
        <w:t xml:space="preserve"> MHMP</w:t>
      </w:r>
      <w:r w:rsidR="006B2448">
        <w:rPr>
          <w:sz w:val="22"/>
          <w:szCs w:val="22"/>
        </w:rPr>
        <w:tab/>
      </w:r>
      <w:r w:rsidR="006B2448">
        <w:rPr>
          <w:sz w:val="22"/>
          <w:szCs w:val="22"/>
        </w:rPr>
        <w:tab/>
      </w:r>
      <w:r w:rsidR="006B2448">
        <w:rPr>
          <w:sz w:val="22"/>
          <w:szCs w:val="22"/>
        </w:rPr>
        <w:tab/>
      </w:r>
      <w:r>
        <w:rPr>
          <w:sz w:val="22"/>
          <w:szCs w:val="22"/>
        </w:rPr>
        <w:t xml:space="preserve">         </w:t>
      </w:r>
      <w:r w:rsidRPr="00FD7A5D">
        <w:rPr>
          <w:sz w:val="22"/>
          <w:szCs w:val="22"/>
        </w:rPr>
        <w:t>místopředseda</w:t>
      </w:r>
      <w:r>
        <w:rPr>
          <w:sz w:val="22"/>
          <w:szCs w:val="22"/>
        </w:rPr>
        <w:t xml:space="preserve"> </w:t>
      </w:r>
      <w:r w:rsidRPr="00FD7A5D">
        <w:rPr>
          <w:sz w:val="22"/>
          <w:szCs w:val="22"/>
        </w:rPr>
        <w:t>představenstva  Operátor ICT a.s.</w:t>
      </w:r>
    </w:p>
    <w:p w14:paraId="065D15B7" w14:textId="66DBEE79" w:rsidR="00FD7A5D" w:rsidRPr="00FD7A5D" w:rsidRDefault="00FD7A5D" w:rsidP="00FD7A5D">
      <w:pPr>
        <w:jc w:val="center"/>
        <w:rPr>
          <w:sz w:val="22"/>
          <w:szCs w:val="22"/>
        </w:rPr>
      </w:pPr>
      <w:r w:rsidRPr="00FD7A5D">
        <w:rPr>
          <w:sz w:val="22"/>
          <w:szCs w:val="22"/>
        </w:rPr>
        <w:t xml:space="preserve">                                                                                                 </w:t>
      </w:r>
    </w:p>
    <w:p w14:paraId="3C16CAB3" w14:textId="77777777" w:rsidR="00FD7A5D" w:rsidRPr="003302DF" w:rsidRDefault="00FD7A5D" w:rsidP="00FD7A5D">
      <w:pPr>
        <w:rPr>
          <w:bCs/>
          <w:i/>
          <w:sz w:val="22"/>
          <w:szCs w:val="22"/>
        </w:rPr>
      </w:pPr>
      <w:r>
        <w:rPr>
          <w:rFonts w:ascii="Palatino Linotype" w:hAnsi="Palatino Linotype" w:cs="Arial"/>
          <w:bCs/>
          <w:color w:val="000000"/>
        </w:rPr>
        <w:tab/>
      </w:r>
      <w:r>
        <w:rPr>
          <w:rFonts w:ascii="Palatino Linotype" w:hAnsi="Palatino Linotype" w:cs="Arial"/>
          <w:bCs/>
          <w:color w:val="000000"/>
        </w:rPr>
        <w:tab/>
      </w:r>
      <w:r>
        <w:rPr>
          <w:rFonts w:ascii="Palatino Linotype" w:hAnsi="Palatino Linotype" w:cs="Arial"/>
          <w:bCs/>
          <w:color w:val="000000"/>
        </w:rPr>
        <w:tab/>
      </w:r>
      <w:r>
        <w:rPr>
          <w:rFonts w:ascii="Palatino Linotype" w:hAnsi="Palatino Linotype" w:cs="Arial"/>
          <w:bCs/>
          <w:color w:val="000000"/>
        </w:rPr>
        <w:tab/>
      </w:r>
      <w:r>
        <w:rPr>
          <w:rFonts w:ascii="Palatino Linotype" w:hAnsi="Palatino Linotype" w:cs="Arial"/>
          <w:bCs/>
          <w:color w:val="000000"/>
        </w:rPr>
        <w:tab/>
      </w:r>
      <w:r>
        <w:rPr>
          <w:rFonts w:ascii="Palatino Linotype" w:hAnsi="Palatino Linotype" w:cs="Arial"/>
          <w:bCs/>
          <w:color w:val="000000"/>
        </w:rPr>
        <w:tab/>
      </w:r>
    </w:p>
    <w:p w14:paraId="6B07BE11" w14:textId="516AF7DD" w:rsidR="00DA56D3" w:rsidRDefault="00DA56D3" w:rsidP="00FD7A5D">
      <w:pPr>
        <w:tabs>
          <w:tab w:val="num" w:pos="284"/>
        </w:tabs>
        <w:ind w:left="360" w:hanging="360"/>
      </w:pPr>
      <w:r w:rsidRPr="001D4E0F">
        <w:rPr>
          <w:sz w:val="22"/>
          <w:szCs w:val="22"/>
        </w:rPr>
        <w:t xml:space="preserve">                                           </w:t>
      </w:r>
      <w:r>
        <w:rPr>
          <w:sz w:val="22"/>
          <w:szCs w:val="22"/>
        </w:rPr>
        <w:t xml:space="preserve">               </w:t>
      </w:r>
      <w:r w:rsidRPr="001D4E0F">
        <w:rPr>
          <w:sz w:val="22"/>
          <w:szCs w:val="22"/>
        </w:rPr>
        <w:t xml:space="preserve">  </w:t>
      </w:r>
    </w:p>
    <w:bookmarkEnd w:id="0"/>
    <w:p w14:paraId="23137FB9" w14:textId="77777777" w:rsidR="008F1B63" w:rsidRDefault="008F1B63" w:rsidP="00DA56D3">
      <w:pPr>
        <w:pStyle w:val="Nzev"/>
        <w:outlineLvl w:val="0"/>
      </w:pPr>
    </w:p>
    <w:sectPr w:rsidR="008F1B63" w:rsidSect="004B3988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7B25F" w14:textId="77777777" w:rsidR="0084578A" w:rsidRDefault="0084578A" w:rsidP="004B3988">
      <w:r>
        <w:separator/>
      </w:r>
    </w:p>
  </w:endnote>
  <w:endnote w:type="continuationSeparator" w:id="0">
    <w:p w14:paraId="35C64C72" w14:textId="77777777" w:rsidR="0084578A" w:rsidRDefault="0084578A" w:rsidP="004B3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E16A5" w14:textId="77777777" w:rsidR="0084578A" w:rsidRDefault="0084578A" w:rsidP="004B3988">
      <w:r>
        <w:separator/>
      </w:r>
    </w:p>
  </w:footnote>
  <w:footnote w:type="continuationSeparator" w:id="0">
    <w:p w14:paraId="51C135EC" w14:textId="77777777" w:rsidR="0084578A" w:rsidRDefault="0084578A" w:rsidP="004B39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AD09C" w14:textId="2EA0FE4D" w:rsidR="00745EC5" w:rsidRDefault="00745EC5" w:rsidP="00745EC5">
    <w:pPr>
      <w:pStyle w:val="Zhlav"/>
      <w:jc w:val="right"/>
    </w:pPr>
    <w:r w:rsidRPr="00745EC5">
      <w:t>MHMPP04U9C1L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1C3DC8"/>
    <w:multiLevelType w:val="hybridMultilevel"/>
    <w:tmpl w:val="CC488B7C"/>
    <w:lvl w:ilvl="0" w:tplc="885CA83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B63"/>
    <w:rsid w:val="0004509D"/>
    <w:rsid w:val="00152179"/>
    <w:rsid w:val="00174899"/>
    <w:rsid w:val="001E5751"/>
    <w:rsid w:val="002F096F"/>
    <w:rsid w:val="002F2C58"/>
    <w:rsid w:val="00313A82"/>
    <w:rsid w:val="00375A38"/>
    <w:rsid w:val="00394177"/>
    <w:rsid w:val="003C479A"/>
    <w:rsid w:val="003E7CB0"/>
    <w:rsid w:val="003F4FAF"/>
    <w:rsid w:val="004B3988"/>
    <w:rsid w:val="004C59CC"/>
    <w:rsid w:val="004D26DF"/>
    <w:rsid w:val="004E7E45"/>
    <w:rsid w:val="004F40B1"/>
    <w:rsid w:val="00543E3A"/>
    <w:rsid w:val="00550487"/>
    <w:rsid w:val="00577CAD"/>
    <w:rsid w:val="005A468A"/>
    <w:rsid w:val="005D17D9"/>
    <w:rsid w:val="005F7CA3"/>
    <w:rsid w:val="00613D17"/>
    <w:rsid w:val="00693089"/>
    <w:rsid w:val="006B2448"/>
    <w:rsid w:val="007251AF"/>
    <w:rsid w:val="00745EC5"/>
    <w:rsid w:val="00747AF9"/>
    <w:rsid w:val="007679D8"/>
    <w:rsid w:val="007A0BAE"/>
    <w:rsid w:val="00801BA6"/>
    <w:rsid w:val="008407D0"/>
    <w:rsid w:val="0084578A"/>
    <w:rsid w:val="0086411F"/>
    <w:rsid w:val="00893E51"/>
    <w:rsid w:val="008C130D"/>
    <w:rsid w:val="008F1B63"/>
    <w:rsid w:val="0090777A"/>
    <w:rsid w:val="00931E50"/>
    <w:rsid w:val="00932C75"/>
    <w:rsid w:val="0093771C"/>
    <w:rsid w:val="009746BA"/>
    <w:rsid w:val="009E4D5A"/>
    <w:rsid w:val="00A22C49"/>
    <w:rsid w:val="00A37ACE"/>
    <w:rsid w:val="00A54ED2"/>
    <w:rsid w:val="00AA32C0"/>
    <w:rsid w:val="00AA7954"/>
    <w:rsid w:val="00AB7C9B"/>
    <w:rsid w:val="00AD5A8A"/>
    <w:rsid w:val="00AD5E98"/>
    <w:rsid w:val="00AE4C0C"/>
    <w:rsid w:val="00AE7AFC"/>
    <w:rsid w:val="00B14A3E"/>
    <w:rsid w:val="00B809AF"/>
    <w:rsid w:val="00B80D5E"/>
    <w:rsid w:val="00B8466F"/>
    <w:rsid w:val="00BC2DA3"/>
    <w:rsid w:val="00BC547A"/>
    <w:rsid w:val="00BF21E2"/>
    <w:rsid w:val="00C00F46"/>
    <w:rsid w:val="00C11280"/>
    <w:rsid w:val="00C41ADE"/>
    <w:rsid w:val="00CB2816"/>
    <w:rsid w:val="00D270AC"/>
    <w:rsid w:val="00D34533"/>
    <w:rsid w:val="00D36CE9"/>
    <w:rsid w:val="00D860CA"/>
    <w:rsid w:val="00DA56D3"/>
    <w:rsid w:val="00DB4321"/>
    <w:rsid w:val="00E00368"/>
    <w:rsid w:val="00E02EBF"/>
    <w:rsid w:val="00EB283D"/>
    <w:rsid w:val="00EB671A"/>
    <w:rsid w:val="00EC0E4C"/>
    <w:rsid w:val="00F368ED"/>
    <w:rsid w:val="00F713BE"/>
    <w:rsid w:val="00F814D8"/>
    <w:rsid w:val="00F86D5E"/>
    <w:rsid w:val="00F92689"/>
    <w:rsid w:val="00F96862"/>
    <w:rsid w:val="00FD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B24FD6"/>
  <w15:chartTrackingRefBased/>
  <w15:docId w15:val="{C393A8E4-AEFD-435E-AD18-309A4F5DF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F1B6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8F1B63"/>
    <w:pPr>
      <w:jc w:val="center"/>
    </w:pPr>
    <w:rPr>
      <w:b/>
      <w:bCs/>
      <w:sz w:val="36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8F1B63"/>
    <w:pPr>
      <w:ind w:left="708"/>
    </w:pPr>
  </w:style>
  <w:style w:type="character" w:customStyle="1" w:styleId="NzevChar">
    <w:name w:val="Název Char"/>
    <w:link w:val="Nzev"/>
    <w:locked/>
    <w:rsid w:val="008F1B63"/>
    <w:rPr>
      <w:b/>
      <w:bCs/>
      <w:sz w:val="36"/>
      <w:szCs w:val="24"/>
      <w:lang w:val="x-none" w:eastAsia="x-none" w:bidi="ar-SA"/>
    </w:rPr>
  </w:style>
  <w:style w:type="character" w:styleId="Odkaznakoment">
    <w:name w:val="annotation reference"/>
    <w:rsid w:val="00AA7954"/>
    <w:rPr>
      <w:sz w:val="16"/>
      <w:szCs w:val="16"/>
    </w:rPr>
  </w:style>
  <w:style w:type="paragraph" w:styleId="Textkomente">
    <w:name w:val="annotation text"/>
    <w:basedOn w:val="Normln"/>
    <w:link w:val="TextkomenteChar"/>
    <w:rsid w:val="00AA795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A7954"/>
  </w:style>
  <w:style w:type="paragraph" w:styleId="Pedmtkomente">
    <w:name w:val="annotation subject"/>
    <w:basedOn w:val="Textkomente"/>
    <w:next w:val="Textkomente"/>
    <w:link w:val="PedmtkomenteChar"/>
    <w:rsid w:val="00AA7954"/>
    <w:rPr>
      <w:b/>
      <w:bCs/>
    </w:rPr>
  </w:style>
  <w:style w:type="character" w:customStyle="1" w:styleId="PedmtkomenteChar">
    <w:name w:val="Předmět komentáře Char"/>
    <w:link w:val="Pedmtkomente"/>
    <w:rsid w:val="00AA7954"/>
    <w:rPr>
      <w:b/>
      <w:bCs/>
    </w:rPr>
  </w:style>
  <w:style w:type="paragraph" w:styleId="Revize">
    <w:name w:val="Revision"/>
    <w:hidden/>
    <w:uiPriority w:val="99"/>
    <w:semiHidden/>
    <w:rsid w:val="0086411F"/>
    <w:rPr>
      <w:sz w:val="24"/>
      <w:szCs w:val="24"/>
    </w:rPr>
  </w:style>
  <w:style w:type="paragraph" w:styleId="Textbubliny">
    <w:name w:val="Balloon Text"/>
    <w:basedOn w:val="Normln"/>
    <w:link w:val="TextbublinyChar"/>
    <w:rsid w:val="004B398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4B3988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rsid w:val="004B39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B3988"/>
    <w:rPr>
      <w:sz w:val="24"/>
      <w:szCs w:val="24"/>
    </w:rPr>
  </w:style>
  <w:style w:type="paragraph" w:styleId="Zpat">
    <w:name w:val="footer"/>
    <w:basedOn w:val="Normln"/>
    <w:link w:val="ZpatChar"/>
    <w:rsid w:val="004B39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B3988"/>
    <w:rPr>
      <w:sz w:val="24"/>
      <w:szCs w:val="24"/>
    </w:rPr>
  </w:style>
  <w:style w:type="paragraph" w:styleId="Prosttext">
    <w:name w:val="Plain Text"/>
    <w:aliases w:val="Char, Char"/>
    <w:basedOn w:val="Normln"/>
    <w:link w:val="ProsttextChar"/>
    <w:rsid w:val="00FD7A5D"/>
    <w:rPr>
      <w:rFonts w:ascii="Courier New" w:hAnsi="Courier New"/>
      <w:sz w:val="20"/>
      <w:szCs w:val="20"/>
    </w:rPr>
  </w:style>
  <w:style w:type="character" w:customStyle="1" w:styleId="ProsttextChar">
    <w:name w:val="Prostý text Char"/>
    <w:aliases w:val="Char Char, Char Char"/>
    <w:basedOn w:val="Standardnpsmoodstavce"/>
    <w:link w:val="Prosttext"/>
    <w:rsid w:val="00FD7A5D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3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1078</Words>
  <Characters>6462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nájmu</vt:lpstr>
    </vt:vector>
  </TitlesOfParts>
  <Company>MHMP</Company>
  <LinksUpToDate>false</LinksUpToDate>
  <CharactersWithSpaces>7525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nájmu</dc:title>
  <dc:subject/>
  <dc:creator>INF</dc:creator>
  <cp:keywords/>
  <dc:description/>
  <cp:lastModifiedBy>Benešová Denisa (MHMP, SLU)</cp:lastModifiedBy>
  <cp:revision>3</cp:revision>
  <dcterms:created xsi:type="dcterms:W3CDTF">2025-01-15T14:37:00Z</dcterms:created>
  <dcterms:modified xsi:type="dcterms:W3CDTF">2025-01-15T15:22:00Z</dcterms:modified>
</cp:coreProperties>
</file>