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PŘÍKAZNÍ SMLOUVĚ č. 556/2024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2088" w:left="1389" w:right="2839" w:bottom="299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„Studený potok - oprava zakrytého profilu“ – autorský dozor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88" w:left="0" w:right="0" w:bottom="299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673100" distB="127000" distL="114300" distR="114300" simplePos="0" relativeHeight="125829378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1447800</wp:posOffset>
                </wp:positionV>
                <wp:extent cx="2953385" cy="10299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3385" cy="1029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Krajský soud v Ústí nad Labem, oddíl A, vložka 13052.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7.69999999999999pt;margin-top:114.pt;width:232.55000000000001pt;height:81.100000000000009pt;z-index:-125829375;mso-wrap-distance-left:9.pt;mso-wrap-distance-top:53.pt;mso-wrap-distance-right:9.pt;mso-wrap-distance-bottom:10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Krajský soud v Ústí nad Labem, oddíl A, vložka 13052.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 Y:</w:t>
      </w:r>
      <w:bookmarkEnd w:id="0"/>
      <w:bookmarkEnd w:id="1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 ve věcech smluvních: zástupce ve věcech technických: technický dozor investora: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„příkazce“)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88" w:left="1389" w:right="3050" w:bottom="2995" w:header="0" w:footer="3" w:gutter="0"/>
          <w:cols w:num="2" w:space="46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42" w:left="0" w:right="0" w:bottom="10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3686" w:h="1123" w:wrap="none" w:vAnchor="text" w:hAnchor="page" w:x="13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Příkazník</w:t>
      </w:r>
      <w:bookmarkEnd w:id="3"/>
    </w:p>
    <w:p>
      <w:pPr>
        <w:pStyle w:val="Style10"/>
        <w:keepNext w:val="0"/>
        <w:keepLines w:val="0"/>
        <w:framePr w:w="3686" w:h="1123" w:wrap="none" w:vAnchor="text" w:hAnchor="page" w:x="13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  <w:bookmarkEnd w:id="4"/>
    </w:p>
    <w:p>
      <w:pPr>
        <w:pStyle w:val="Style10"/>
        <w:keepNext w:val="0"/>
        <w:keepLines w:val="0"/>
        <w:framePr w:w="3686" w:h="1123" w:wrap="none" w:vAnchor="text" w:hAnchor="page" w:x="13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smlouvy: oprávněn jednat o věcech smluvních:</w:t>
      </w:r>
      <w:bookmarkEnd w:id="5"/>
    </w:p>
    <w:p>
      <w:pPr>
        <w:pStyle w:val="Style10"/>
        <w:keepNext w:val="0"/>
        <w:keepLines w:val="0"/>
        <w:framePr w:w="3000" w:h="619" w:wrap="none" w:vAnchor="text" w:hAnchor="page" w:x="535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HG partner s.r.o.</w:t>
      </w:r>
    </w:p>
    <w:p>
      <w:pPr>
        <w:pStyle w:val="Style10"/>
        <w:keepNext w:val="0"/>
        <w:keepLines w:val="0"/>
        <w:framePr w:w="3000" w:h="619" w:wrap="none" w:vAnchor="text" w:hAnchor="page" w:x="535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Smetanova 200, 250 82 Úvaly</w:t>
      </w:r>
    </w:p>
    <w:p>
      <w:pPr>
        <w:pStyle w:val="Style10"/>
        <w:keepNext w:val="0"/>
        <w:keepLines w:val="0"/>
        <w:framePr w:w="3845" w:h="355" w:wrap="none" w:vAnchor="text" w:hAnchor="page" w:x="1395" w:y="12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10"/>
        <w:keepNext w:val="0"/>
        <w:keepLines w:val="0"/>
        <w:framePr w:w="2794" w:h="1622" w:wrap="none" w:vAnchor="text" w:hAnchor="page" w:x="139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0"/>
        <w:keepNext w:val="0"/>
        <w:keepLines w:val="0"/>
        <w:framePr w:w="2794" w:h="1622" w:wrap="none" w:vAnchor="text" w:hAnchor="page" w:x="139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framePr w:w="2794" w:h="1622" w:wrap="none" w:vAnchor="text" w:hAnchor="page" w:x="139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framePr w:w="2794" w:h="1622" w:wrap="none" w:vAnchor="text" w:hAnchor="page" w:x="139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framePr w:w="2794" w:h="1622" w:wrap="none" w:vAnchor="text" w:hAnchor="page" w:x="139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</w:t>
      </w:r>
    </w:p>
    <w:p>
      <w:pPr>
        <w:pStyle w:val="Style10"/>
        <w:keepNext w:val="0"/>
        <w:keepLines w:val="0"/>
        <w:framePr w:w="2794" w:h="1622" w:wrap="none" w:vAnchor="text" w:hAnchor="page" w:x="139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„příkazník“)</w:t>
      </w:r>
    </w:p>
    <w:p>
      <w:pPr>
        <w:pStyle w:val="Style10"/>
        <w:keepNext w:val="0"/>
        <w:keepLines w:val="0"/>
        <w:framePr w:w="1325" w:h="610" w:wrap="none" w:vAnchor="text" w:hAnchor="page" w:x="535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27221253</w:t>
      </w:r>
    </w:p>
    <w:p>
      <w:pPr>
        <w:pStyle w:val="Style10"/>
        <w:keepNext w:val="0"/>
        <w:keepLines w:val="0"/>
        <w:framePr w:w="1325" w:h="610" w:wrap="none" w:vAnchor="text" w:hAnchor="page" w:x="535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CZ27221253</w:t>
      </w:r>
    </w:p>
    <w:p>
      <w:pPr>
        <w:pStyle w:val="Style10"/>
        <w:keepNext w:val="0"/>
        <w:keepLines w:val="0"/>
        <w:framePr w:w="4968" w:h="360" w:wrap="none" w:vAnchor="text" w:hAnchor="page" w:x="5355" w:y="2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Městský soud v Praze, v oddíl C, vložka č. 105510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42" w:left="1389" w:right="1413" w:bottom="10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Předmět dodatku</w:t>
      </w:r>
      <w:bookmarkEnd w:id="6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tohoto dodatku je změna maximální odměny uvedené v čl. III. odst. 1. příkazní smlouvy na autorský dozor č. 556/2024 z důvodu náročnější realizace a projednávání změn předmětu plnění, které vyvolaly potřebu zvýšených činností autorského dozoru na stavbě. Z původně plánovaných 6 kontrolních dnů a 25 hod dalších činností na plánovaných 11 kontrolních dnů a 45 hod dalších činností. Původní maximální odměna ve výši 61 970,- Kč bez DPH je nyní vyčerpána.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odměna činí: 61 970,- Kč bez DPH.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odměna činí: 112 820,- Kč bez DPH.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Závěrečná ujednání</w:t>
      </w:r>
      <w:bookmarkEnd w:id="10"/>
      <w:bookmarkEnd w:id="11"/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nedílnou součástí příkazní smlouvy na autorský dozor č. 556/2024 ze dne 14.06.2024. Ostatní ustanovení příkazní smlouvy se nemění.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nabývá platnosti dnem jeho podpisu poslední ze smluvních stran a účinnosti zveřejněním v Registru smluv, pokud této účinnosti dle příslušných ustanovení dodatku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dodatku a metadat v registru smluv zajistí Povodí Ohře, státní podnik, který má právo tento dodatek zveřejnit rovněž v pochybnostech o tom, zda tento dodatek zveřejnění podléhá či nikoliv.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363" w:left="1394" w:right="1389" w:bottom="247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12700</wp:posOffset>
                </wp:positionV>
                <wp:extent cx="944880" cy="22542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Úvalech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85000000000002pt;margin-top:1.pt;width:74.400000000000006pt;height:17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Úvalech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2354" w:bottom="1363" w:header="0" w:footer="3" w:gutter="0"/>
          <w:cols w:num="2" w:space="176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HG partner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2354" w:bottom="1363" w:header="0" w:footer="3" w:gutter="0"/>
      <w:cols w:num="2" w:space="176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3332480</wp:posOffset>
              </wp:positionH>
              <wp:positionV relativeFrom="page">
                <wp:posOffset>10100945</wp:posOffset>
              </wp:positionV>
              <wp:extent cx="899160" cy="1524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2.39999999999998pt;margin-top:795.35000000000002pt;width:70.799999999999997pt;height:12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5786120</wp:posOffset>
              </wp:positionH>
              <wp:positionV relativeFrom="page">
                <wp:posOffset>438785</wp:posOffset>
              </wp:positionV>
              <wp:extent cx="877570" cy="2863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77570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Příkazní smlouva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Akce č. 301 737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60000000000002pt;margin-top:34.550000000000004pt;width:69.100000000000009pt;height:22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Příkazní smlouva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Akce č. 301 737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30" w:lineRule="auto"/>
      <w:ind w:left="346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360" w:line="230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3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ZAJIŠTĚNÍ PODMÍNEK PRO REALIZACI STAVBY A BUDOUCÍM MAJEKOPRÁVNÍM VYPOŘÁDÁNÍ</dc:title>
  <dc:subject/>
  <dc:creator>Sykora</dc:creator>
  <cp:keywords/>
</cp:coreProperties>
</file>