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64" w:lineRule="auto"/>
        <w:ind w:left="0" w:right="0" w:firstLine="0"/>
        <w:jc w:val="center"/>
        <w:rPr>
          <w:sz w:val="28"/>
          <w:szCs w:val="28"/>
        </w:rPr>
      </w:pPr>
      <w:bookmarkStart w:id="0" w:name="bookmark0"/>
      <w:r>
        <w:rPr>
          <w:rFonts w:ascii="Cambria" w:eastAsia="Cambria" w:hAnsi="Cambria" w:cs="Cambria"/>
          <w:b/>
          <w:bCs/>
          <w:color w:val="000000"/>
          <w:spacing w:val="0"/>
          <w:w w:val="100"/>
          <w:position w:val="0"/>
          <w:sz w:val="28"/>
          <w:szCs w:val="28"/>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40" w:line="264" w:lineRule="auto"/>
        <w:ind w:left="0" w:right="0" w:firstLine="0"/>
        <w:jc w:val="center"/>
      </w:pPr>
      <w:r>
        <w:rPr>
          <w:color w:val="000000"/>
          <w:spacing w:val="0"/>
          <w:w w:val="100"/>
          <w:position w:val="0"/>
          <w:shd w:val="clear" w:color="auto" w:fill="auto"/>
          <w:lang w:val="cs-CZ" w:eastAsia="cs-CZ" w:bidi="cs-CZ"/>
        </w:rPr>
        <w:t xml:space="preserve">(dále též jako </w:t>
      </w:r>
      <w:r>
        <w:rPr>
          <w:b/>
          <w:bCs/>
          <w:color w:val="000000"/>
          <w:spacing w:val="0"/>
          <w:w w:val="100"/>
          <w:position w:val="0"/>
          <w:shd w:val="clear" w:color="auto" w:fill="auto"/>
          <w:lang w:val="cs-CZ" w:eastAsia="cs-CZ" w:bidi="cs-CZ"/>
        </w:rPr>
        <w:t>„smlouva")</w:t>
      </w:r>
    </w:p>
    <w:p>
      <w:pPr>
        <w:pStyle w:val="Style2"/>
        <w:keepNext w:val="0"/>
        <w:keepLines w:val="0"/>
        <w:widowControl w:val="0"/>
        <w:shd w:val="clear" w:color="auto" w:fill="auto"/>
        <w:bidi w:val="0"/>
        <w:spacing w:before="0" w:after="200" w:line="240" w:lineRule="auto"/>
        <w:ind w:left="0" w:right="0" w:firstLine="660"/>
        <w:jc w:val="left"/>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 xml:space="preserve">(dále též jako </w:t>
      </w:r>
      <w:r>
        <w:rPr>
          <w:b/>
          <w:bCs/>
          <w:color w:val="000000"/>
          <w:spacing w:val="0"/>
          <w:w w:val="100"/>
          <w:position w:val="0"/>
          <w:shd w:val="clear" w:color="auto" w:fill="auto"/>
          <w:lang w:val="cs-CZ" w:eastAsia="cs-CZ" w:bidi="cs-CZ"/>
        </w:rPr>
        <w:t>„občanský zákoník ")</w:t>
      </w:r>
    </w:p>
    <w:p>
      <w:pPr>
        <w:pStyle w:val="Style12"/>
        <w:keepNext/>
        <w:keepLines/>
        <w:widowControl w:val="0"/>
        <w:shd w:val="clear" w:color="auto" w:fill="auto"/>
        <w:bidi w:val="0"/>
        <w:spacing w:before="0" w:after="40" w:line="240" w:lineRule="auto"/>
        <w:ind w:left="0" w:right="0" w:firstLine="0"/>
        <w:jc w:val="left"/>
      </w:pPr>
      <w:bookmarkStart w:id="2" w:name="bookmark2"/>
      <w:r>
        <w:rPr>
          <w:color w:val="000000"/>
          <w:spacing w:val="0"/>
          <w:w w:val="100"/>
          <w:position w:val="0"/>
          <w:shd w:val="clear" w:color="auto" w:fill="auto"/>
          <w:lang w:val="cs-CZ" w:eastAsia="cs-CZ" w:bidi="cs-CZ"/>
        </w:rPr>
        <w:t>Bytové družstvo POSEIDON</w:t>
      </w:r>
      <w:bookmarkEnd w:id="2"/>
    </w:p>
    <w:p>
      <w:pPr>
        <w:pStyle w:val="Style2"/>
        <w:keepNext w:val="0"/>
        <w:keepLines w:val="0"/>
        <w:widowControl w:val="0"/>
        <w:shd w:val="clear" w:color="auto" w:fill="auto"/>
        <w:bidi w:val="0"/>
        <w:spacing w:before="0" w:after="40" w:line="240" w:lineRule="auto"/>
        <w:ind w:left="0" w:right="0" w:firstLine="660"/>
        <w:jc w:val="left"/>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40" w:line="240" w:lineRule="auto"/>
        <w:ind w:left="0" w:right="0" w:firstLine="660"/>
        <w:jc w:val="left"/>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bidi w:val="0"/>
        <w:spacing w:before="0" w:after="40" w:line="240" w:lineRule="auto"/>
        <w:ind w:left="0" w:right="0" w:firstLine="660"/>
        <w:jc w:val="left"/>
      </w:pPr>
      <w:r>
        <w:rPr>
          <w:color w:val="000000"/>
          <w:spacing w:val="0"/>
          <w:w w:val="100"/>
          <w:position w:val="0"/>
          <w:shd w:val="clear" w:color="auto" w:fill="auto"/>
          <w:lang w:val="cs-CZ" w:eastAsia="cs-CZ" w:bidi="cs-CZ"/>
        </w:rPr>
        <w:t>zapsané v obchodním rejstříku vedeném u Krajského soudu v Hradci Králové, oddíl Dr, vložka</w:t>
      </w:r>
    </w:p>
    <w:p>
      <w:pPr>
        <w:pStyle w:val="Style2"/>
        <w:keepNext w:val="0"/>
        <w:keepLines w:val="0"/>
        <w:widowControl w:val="0"/>
        <w:shd w:val="clear" w:color="auto" w:fill="auto"/>
        <w:tabs>
          <w:tab w:pos="6708" w:val="left"/>
        </w:tabs>
        <w:bidi w:val="0"/>
        <w:spacing w:before="0" w:after="40" w:line="240" w:lineRule="auto"/>
        <w:ind w:left="0" w:right="0" w:firstLine="660"/>
        <w:jc w:val="left"/>
      </w:pPr>
      <w:r>
        <w:rPr>
          <w:color w:val="000000"/>
          <w:spacing w:val="0"/>
          <w:w w:val="100"/>
          <w:position w:val="0"/>
          <w:shd w:val="clear" w:color="auto" w:fill="auto"/>
          <w:lang w:val="cs-CZ" w:eastAsia="cs-CZ" w:bidi="cs-CZ"/>
        </w:rPr>
        <w:t>807 zastoupené předsedou představenstva</w:t>
        <w:tab/>
        <w:t>a místopředsedou</w:t>
      </w:r>
    </w:p>
    <w:p>
      <w:pPr>
        <w:pStyle w:val="Style2"/>
        <w:keepNext w:val="0"/>
        <w:keepLines w:val="0"/>
        <w:widowControl w:val="0"/>
        <w:shd w:val="clear" w:color="auto" w:fill="auto"/>
        <w:tabs>
          <w:tab w:pos="4638" w:val="left"/>
        </w:tabs>
        <w:bidi w:val="0"/>
        <w:spacing w:before="0" w:after="360" w:line="240" w:lineRule="auto"/>
        <w:ind w:left="0" w:right="0" w:firstLine="660"/>
        <w:jc w:val="left"/>
      </w:pPr>
      <w:r>
        <w:rPr>
          <w:color w:val="000000"/>
          <w:spacing w:val="0"/>
          <w:w w:val="100"/>
          <w:position w:val="0"/>
          <w:shd w:val="clear" w:color="auto" w:fill="auto"/>
          <w:lang w:val="cs-CZ" w:eastAsia="cs-CZ" w:bidi="cs-CZ"/>
        </w:rPr>
        <w:t>představenstva</w:t>
        <w:tab/>
        <w:t>e-mail:</w:t>
      </w:r>
    </w:p>
    <w:p>
      <w:pPr>
        <w:pStyle w:val="Style2"/>
        <w:keepNext w:val="0"/>
        <w:keepLines w:val="0"/>
        <w:widowControl w:val="0"/>
        <w:shd w:val="clear" w:color="auto" w:fill="auto"/>
        <w:bidi w:val="0"/>
        <w:spacing w:before="0" w:after="660" w:line="240" w:lineRule="auto"/>
        <w:ind w:left="0" w:right="0" w:firstLine="620"/>
        <w:jc w:val="left"/>
      </w:pPr>
      <w:r>
        <w:rPr>
          <w:color w:val="000000"/>
          <w:spacing w:val="0"/>
          <w:w w:val="100"/>
          <w:position w:val="0"/>
          <w:shd w:val="clear" w:color="auto" w:fill="auto"/>
          <w:lang w:val="cs-CZ" w:eastAsia="cs-CZ" w:bidi="cs-CZ"/>
        </w:rPr>
        <w:t xml:space="preserve">(dále též jako </w:t>
      </w:r>
      <w:r>
        <w:rPr>
          <w:b/>
          <w:bCs/>
          <w:color w:val="000000"/>
          <w:spacing w:val="0"/>
          <w:w w:val="100"/>
          <w:position w:val="0"/>
          <w:shd w:val="clear" w:color="auto" w:fill="auto"/>
          <w:lang w:val="cs-CZ" w:eastAsia="cs-CZ" w:bidi="cs-CZ"/>
        </w:rPr>
        <w:t>„prodávající 1")</w:t>
      </w:r>
    </w:p>
    <w:p>
      <w:pPr>
        <w:pStyle w:val="Style12"/>
        <w:keepNext/>
        <w:keepLines/>
        <w:widowControl w:val="0"/>
        <w:shd w:val="clear" w:color="auto" w:fill="auto"/>
        <w:bidi w:val="0"/>
        <w:spacing w:before="0" w:after="0" w:line="300" w:lineRule="auto"/>
        <w:ind w:left="0" w:right="0" w:firstLine="0"/>
        <w:jc w:val="left"/>
      </w:pPr>
      <w:bookmarkStart w:id="4" w:name="bookmark4"/>
      <w:r>
        <w:rPr>
          <w:color w:val="000000"/>
          <w:spacing w:val="0"/>
          <w:w w:val="100"/>
          <w:position w:val="0"/>
          <w:shd w:val="clear" w:color="auto" w:fill="auto"/>
          <w:lang w:val="cs-CZ" w:eastAsia="cs-CZ" w:bidi="cs-CZ"/>
        </w:rPr>
        <w:t>Statutární město Pardubice</w:t>
      </w:r>
      <w:bookmarkEnd w:id="4"/>
    </w:p>
    <w:p>
      <w:pPr>
        <w:pStyle w:val="Style2"/>
        <w:keepNext w:val="0"/>
        <w:keepLines w:val="0"/>
        <w:widowControl w:val="0"/>
        <w:shd w:val="clear" w:color="auto" w:fill="auto"/>
        <w:bidi w:val="0"/>
        <w:spacing w:before="0" w:after="0" w:line="300" w:lineRule="auto"/>
        <w:ind w:left="520" w:right="0" w:firstLine="40"/>
        <w:jc w:val="left"/>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line="300" w:lineRule="auto"/>
        <w:ind w:left="520" w:right="0" w:firstLine="40"/>
        <w:jc w:val="left"/>
      </w:pPr>
      <w:r>
        <w:rPr>
          <w:color w:val="000000"/>
          <w:spacing w:val="0"/>
          <w:w w:val="100"/>
          <w:position w:val="0"/>
          <w:shd w:val="clear" w:color="auto" w:fill="auto"/>
          <w:lang w:val="cs-CZ" w:eastAsia="cs-CZ" w:bidi="cs-CZ"/>
        </w:rPr>
        <w:t xml:space="preserve">sídlem Pernštýnské náměstí 1,530 02 Pardubice zastoupené primátorem Bc. Janem Nadrchalem (dále též jako </w:t>
      </w:r>
      <w:r>
        <w:rPr>
          <w:b/>
          <w:bCs/>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line="298" w:lineRule="auto"/>
        <w:ind w:left="0" w:right="0" w:firstLine="560"/>
        <w:jc w:val="left"/>
      </w:pPr>
      <w:r>
        <w:rPr>
          <w:color w:val="000000"/>
          <w:spacing w:val="0"/>
          <w:w w:val="100"/>
          <w:position w:val="0"/>
          <w:shd w:val="clear" w:color="auto" w:fill="auto"/>
          <w:lang w:val="cs-CZ" w:eastAsia="cs-CZ" w:bidi="cs-CZ"/>
        </w:rPr>
        <w:t xml:space="preserve">(prodávající 1 a prodávající 2 společně též jako </w:t>
      </w:r>
      <w:r>
        <w:rPr>
          <w:b/>
          <w:bCs/>
          <w:color w:val="000000"/>
          <w:spacing w:val="0"/>
          <w:w w:val="100"/>
          <w:position w:val="0"/>
          <w:shd w:val="clear" w:color="auto" w:fill="auto"/>
          <w:lang w:val="cs-CZ" w:eastAsia="cs-CZ" w:bidi="cs-CZ"/>
        </w:rPr>
        <w:t xml:space="preserve">„prodávající") </w:t>
      </w:r>
      <w:r>
        <w:rPr>
          <w:color w:val="000000"/>
          <w:spacing w:val="0"/>
          <w:w w:val="100"/>
          <w:position w:val="0"/>
          <w:shd w:val="clear" w:color="auto" w:fill="auto"/>
          <w:lang w:val="cs-CZ" w:eastAsia="cs-CZ" w:bidi="cs-CZ"/>
        </w:rPr>
        <w:t>a</w:t>
      </w:r>
    </w:p>
    <w:p>
      <w:pPr>
        <w:pStyle w:val="Style12"/>
        <w:keepNext/>
        <w:keepLines/>
        <w:widowControl w:val="0"/>
        <w:shd w:val="clear" w:color="auto" w:fill="auto"/>
        <w:bidi w:val="0"/>
        <w:spacing w:before="0" w:after="40" w:line="240" w:lineRule="auto"/>
        <w:ind w:left="0" w:right="0" w:firstLine="0"/>
        <w:jc w:val="left"/>
      </w:pPr>
      <w:bookmarkStart w:id="6" w:name="bookmark6"/>
      <w:r>
        <w:rPr>
          <w:color w:val="000000"/>
          <w:spacing w:val="0"/>
          <w:w w:val="100"/>
          <w:position w:val="0"/>
          <w:shd w:val="clear" w:color="auto" w:fill="auto"/>
          <w:lang w:val="en-US" w:eastAsia="en-US" w:bidi="en-US"/>
        </w:rPr>
        <w:t xml:space="preserve">Kaufman </w:t>
      </w:r>
      <w:r>
        <w:rPr>
          <w:color w:val="000000"/>
          <w:spacing w:val="0"/>
          <w:w w:val="100"/>
          <w:position w:val="0"/>
          <w:shd w:val="clear" w:color="auto" w:fill="auto"/>
          <w:lang w:val="cs-CZ" w:eastAsia="cs-CZ" w:bidi="cs-CZ"/>
        </w:rPr>
        <w:t xml:space="preserve">Lucie, </w:t>
      </w:r>
      <w:r>
        <w:rPr>
          <w:b w:val="0"/>
          <w:bCs w:val="0"/>
          <w:color w:val="000000"/>
          <w:spacing w:val="0"/>
          <w:w w:val="100"/>
          <w:position w:val="0"/>
          <w:shd w:val="clear" w:color="auto" w:fill="auto"/>
          <w:lang w:val="cs-CZ" w:eastAsia="cs-CZ" w:bidi="cs-CZ"/>
        </w:rPr>
        <w:t>RČ: 93</w:t>
      </w:r>
      <w:bookmarkEnd w:id="6"/>
    </w:p>
    <w:p>
      <w:pPr>
        <w:pStyle w:val="Style2"/>
        <w:keepNext w:val="0"/>
        <w:keepLines w:val="0"/>
        <w:widowControl w:val="0"/>
        <w:shd w:val="clear" w:color="auto" w:fill="auto"/>
        <w:tabs>
          <w:tab w:pos="2504" w:val="left"/>
        </w:tabs>
        <w:bidi w:val="0"/>
        <w:spacing w:before="0" w:after="360" w:line="240" w:lineRule="auto"/>
        <w:ind w:left="0" w:right="0" w:firstLine="520"/>
        <w:jc w:val="left"/>
      </w:pPr>
      <w:r>
        <w:rPr>
          <w:color w:val="000000"/>
          <w:spacing w:val="0"/>
          <w:w w:val="100"/>
          <w:position w:val="0"/>
          <w:shd w:val="clear" w:color="auto" w:fill="auto"/>
          <w:lang w:val="cs-CZ" w:eastAsia="cs-CZ" w:bidi="cs-CZ"/>
        </w:rPr>
        <w:t>bytem</w:t>
        <w:tab/>
        <w:t>530 09 Pardubice</w:t>
      </w:r>
    </w:p>
    <w:p>
      <w:pPr>
        <w:pStyle w:val="Style2"/>
        <w:keepNext w:val="0"/>
        <w:keepLines w:val="0"/>
        <w:widowControl w:val="0"/>
        <w:shd w:val="clear" w:color="auto" w:fill="auto"/>
        <w:bidi w:val="0"/>
        <w:spacing w:before="0" w:after="40" w:line="240" w:lineRule="auto"/>
        <w:ind w:left="0" w:right="0" w:firstLine="520"/>
        <w:jc w:val="left"/>
      </w:pPr>
      <w:r>
        <w:rPr>
          <w:color w:val="000000"/>
          <w:spacing w:val="0"/>
          <w:w w:val="100"/>
          <w:position w:val="0"/>
          <w:shd w:val="clear" w:color="auto" w:fill="auto"/>
          <w:lang w:val="cs-CZ" w:eastAsia="cs-CZ" w:bidi="cs-CZ"/>
        </w:rPr>
        <w:t xml:space="preserve">(dále též jako </w:t>
      </w:r>
      <w:r>
        <w:rPr>
          <w:b/>
          <w:bCs/>
          <w:color w:val="000000"/>
          <w:spacing w:val="0"/>
          <w:w w:val="100"/>
          <w:position w:val="0"/>
          <w:shd w:val="clear" w:color="auto" w:fill="auto"/>
          <w:lang w:val="cs-CZ" w:eastAsia="cs-CZ" w:bidi="cs-CZ"/>
        </w:rPr>
        <w:t>„kupující")</w:t>
      </w:r>
    </w:p>
    <w:p>
      <w:pPr>
        <w:pStyle w:val="Style2"/>
        <w:keepNext w:val="0"/>
        <w:keepLines w:val="0"/>
        <w:widowControl w:val="0"/>
        <w:shd w:val="clear" w:color="auto" w:fill="auto"/>
        <w:bidi w:val="0"/>
        <w:spacing w:before="0" w:after="360" w:line="240" w:lineRule="auto"/>
        <w:ind w:left="0" w:right="0" w:firstLine="520"/>
        <w:jc w:val="left"/>
      </w:pPr>
      <w:r>
        <w:rPr>
          <w:color w:val="000000"/>
          <w:spacing w:val="0"/>
          <w:w w:val="100"/>
          <w:position w:val="0"/>
          <w:shd w:val="clear" w:color="auto" w:fill="auto"/>
          <w:lang w:val="cs-CZ" w:eastAsia="cs-CZ" w:bidi="cs-CZ"/>
        </w:rPr>
        <w:t xml:space="preserve">(prodávající a kupující společně též jako </w:t>
      </w: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line="293" w:lineRule="auto"/>
        <w:ind w:left="0" w:right="0" w:firstLine="520"/>
        <w:jc w:val="left"/>
      </w:pPr>
      <w:r>
        <w:rPr>
          <w:color w:val="000000"/>
          <w:spacing w:val="0"/>
          <w:w w:val="100"/>
          <w:position w:val="0"/>
          <w:shd w:val="clear" w:color="auto" w:fill="auto"/>
          <w:lang w:val="cs-CZ" w:eastAsia="cs-CZ" w:bidi="cs-CZ"/>
        </w:rPr>
        <w:t>uzavřely níže uvedeného dne, měsíce a roku tuto smlouvu:</w:t>
      </w:r>
    </w:p>
    <w:p>
      <w:pPr>
        <w:pStyle w:val="Style12"/>
        <w:keepNext/>
        <w:keepLines/>
        <w:widowControl w:val="0"/>
        <w:shd w:val="clear" w:color="auto" w:fill="auto"/>
        <w:bidi w:val="0"/>
        <w:spacing w:before="0" w:after="0"/>
        <w:ind w:left="0" w:right="0" w:firstLine="0"/>
        <w:jc w:val="center"/>
      </w:pPr>
      <w:bookmarkStart w:id="8" w:name="bookmark8"/>
      <w:r>
        <w:rPr>
          <w:color w:val="000000"/>
          <w:spacing w:val="0"/>
          <w:w w:val="100"/>
          <w:position w:val="0"/>
          <w:shd w:val="clear" w:color="auto" w:fill="auto"/>
          <w:lang w:val="cs-CZ" w:eastAsia="cs-CZ" w:bidi="cs-CZ"/>
        </w:rPr>
        <w:t>Článek I.</w:t>
      </w:r>
      <w:bookmarkEnd w:id="8"/>
    </w:p>
    <w:p>
      <w:pPr>
        <w:pStyle w:val="Style12"/>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716" w:val="left"/>
        </w:tabs>
        <w:bidi w:val="0"/>
        <w:spacing w:before="0" w:line="293" w:lineRule="auto"/>
        <w:ind w:left="0" w:right="0" w:firstLine="0"/>
        <w:jc w:val="left"/>
      </w:pPr>
      <w:r>
        <w:rPr>
          <w:color w:val="000000"/>
          <w:spacing w:val="0"/>
          <w:w w:val="100"/>
          <w:position w:val="0"/>
          <w:shd w:val="clear" w:color="auto" w:fill="auto"/>
          <w:lang w:val="cs-CZ" w:eastAsia="cs-CZ" w:bidi="cs-CZ"/>
        </w:rPr>
        <w:t xml:space="preserve">Smluvní strany uzavřely dne 19.09.2022 Smlouvu o smlouvě budoucí o převodu vlastnického práva k nemovitostem (dále jen </w:t>
      </w:r>
      <w:r>
        <w:rPr>
          <w:b/>
          <w:bCs/>
          <w:color w:val="000000"/>
          <w:spacing w:val="0"/>
          <w:w w:val="100"/>
          <w:position w:val="0"/>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716" w:val="left"/>
        </w:tabs>
        <w:bidi w:val="0"/>
        <w:spacing w:before="0"/>
        <w:ind w:left="0" w:right="0" w:firstLine="0"/>
        <w:jc w:val="left"/>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12"/>
        <w:keepNext/>
        <w:keepLines/>
        <w:widowControl w:val="0"/>
        <w:numPr>
          <w:ilvl w:val="0"/>
          <w:numId w:val="3"/>
        </w:numPr>
        <w:shd w:val="clear" w:color="auto" w:fill="auto"/>
        <w:tabs>
          <w:tab w:pos="754" w:val="left"/>
        </w:tabs>
        <w:bidi w:val="0"/>
        <w:spacing w:before="0" w:line="290" w:lineRule="auto"/>
        <w:ind w:left="0" w:right="0" w:firstLine="420"/>
        <w:jc w:val="both"/>
      </w:pPr>
      <w:bookmarkStart w:id="11" w:name="bookmark11"/>
      <w:r>
        <w:rPr>
          <w:color w:val="000000"/>
          <w:spacing w:val="0"/>
          <w:w w:val="100"/>
          <w:position w:val="0"/>
          <w:shd w:val="clear" w:color="auto" w:fill="auto"/>
          <w:lang w:val="cs-CZ" w:eastAsia="cs-CZ" w:bidi="cs-CZ"/>
        </w:rPr>
        <w:t>Bytová jednotka</w:t>
      </w:r>
      <w:bookmarkEnd w:id="11"/>
    </w:p>
    <w:p>
      <w:pPr>
        <w:pStyle w:val="Style2"/>
        <w:keepNext w:val="0"/>
        <w:keepLines w:val="0"/>
        <w:widowControl w:val="0"/>
        <w:shd w:val="clear" w:color="auto" w:fill="auto"/>
        <w:bidi w:val="0"/>
        <w:spacing w:before="0" w:after="0"/>
        <w:ind w:left="420" w:right="0" w:hanging="420"/>
        <w:jc w:val="both"/>
      </w:pPr>
      <w:r>
        <w:rPr>
          <w:b/>
          <w:bCs/>
          <w:color w:val="000000"/>
          <w:spacing w:val="0"/>
          <w:w w:val="100"/>
          <w:position w:val="0"/>
          <w:shd w:val="clear" w:color="auto" w:fill="auto"/>
          <w:lang w:val="cs-CZ" w:eastAsia="cs-CZ" w:bidi="cs-CZ"/>
        </w:rPr>
        <w:t xml:space="preserve">bytová jednotka č. 2737/113 </w:t>
      </w:r>
      <w:r>
        <w:rPr>
          <w:color w:val="000000"/>
          <w:spacing w:val="0"/>
          <w:w w:val="100"/>
          <w:position w:val="0"/>
          <w:shd w:val="clear" w:color="auto" w:fill="auto"/>
          <w:lang w:val="cs-CZ" w:eastAsia="cs-CZ" w:bidi="cs-CZ"/>
        </w:rPr>
        <w:t xml:space="preserve">byt, jednotka vymezená podle zákona č. 72/1994 Sb., o vlastnictví bytů, umístěná v 10 nadzemním podlaží (dále jen </w:t>
      </w:r>
      <w:r>
        <w:rPr>
          <w:b/>
          <w:bCs/>
          <w:color w:val="000000"/>
          <w:spacing w:val="0"/>
          <w:w w:val="100"/>
          <w:position w:val="0"/>
          <w:shd w:val="clear" w:color="auto" w:fill="auto"/>
          <w:lang w:val="cs-CZ" w:eastAsia="cs-CZ" w:bidi="cs-CZ"/>
        </w:rPr>
        <w:t xml:space="preserve">„Byt") </w:t>
      </w:r>
      <w:r>
        <w:rPr>
          <w:color w:val="000000"/>
          <w:spacing w:val="0"/>
          <w:w w:val="100"/>
          <w:position w:val="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hd w:val="clear" w:color="auto" w:fill="auto"/>
          <w:lang w:val="cs-CZ" w:eastAsia="cs-CZ" w:bidi="cs-CZ"/>
        </w:rPr>
        <w:t xml:space="preserve">„Dům"), </w:t>
      </w:r>
      <w:r>
        <w:rPr>
          <w:color w:val="000000"/>
          <w:spacing w:val="0"/>
          <w:w w:val="100"/>
          <w:position w:val="0"/>
          <w:shd w:val="clear" w:color="auto" w:fill="auto"/>
          <w:lang w:val="cs-CZ" w:eastAsia="cs-CZ" w:bidi="cs-CZ"/>
        </w:rPr>
        <w:t xml:space="preserve">stojícího na pozemku pare. č. </w:t>
      </w:r>
      <w:r>
        <w:rPr>
          <w:color w:val="000000"/>
          <w:spacing w:val="0"/>
          <w:w w:val="100"/>
          <w:position w:val="0"/>
          <w:shd w:val="clear" w:color="auto" w:fill="auto"/>
          <w:lang w:val="en-US" w:eastAsia="en-US" w:bidi="en-US"/>
        </w:rPr>
        <w:t xml:space="preserve">st. </w:t>
      </w:r>
      <w:r>
        <w:rPr>
          <w:color w:val="000000"/>
          <w:spacing w:val="0"/>
          <w:w w:val="100"/>
          <w:position w:val="0"/>
          <w:shd w:val="clear" w:color="auto" w:fill="auto"/>
          <w:lang w:val="cs-CZ" w:eastAsia="cs-CZ" w:bidi="cs-CZ"/>
        </w:rPr>
        <w:t xml:space="preserve">10022 (dále jen </w:t>
      </w:r>
      <w:r>
        <w:rPr>
          <w:b/>
          <w:bCs/>
          <w:color w:val="000000"/>
          <w:spacing w:val="0"/>
          <w:w w:val="100"/>
          <w:position w:val="0"/>
          <w:shd w:val="clear" w:color="auto" w:fill="auto"/>
          <w:lang w:val="cs-CZ" w:eastAsia="cs-CZ" w:bidi="cs-CZ"/>
        </w:rPr>
        <w:t xml:space="preserve">„Pozemek"), </w:t>
      </w:r>
      <w:r>
        <w:rPr>
          <w:color w:val="000000"/>
          <w:spacing w:val="0"/>
          <w:w w:val="100"/>
          <w:position w:val="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hd w:val="clear" w:color="auto" w:fill="auto"/>
          <w:lang w:val="en-US" w:eastAsia="en-US" w:bidi="en-US"/>
        </w:rPr>
        <w:t xml:space="preserve">id. </w:t>
      </w:r>
      <w:r>
        <w:rPr>
          <w:b/>
          <w:bCs/>
          <w:color w:val="000000"/>
          <w:spacing w:val="0"/>
          <w:w w:val="100"/>
          <w:position w:val="0"/>
          <w:shd w:val="clear" w:color="auto" w:fill="auto"/>
          <w:lang w:val="cs-CZ" w:eastAsia="cs-CZ" w:bidi="cs-CZ"/>
        </w:rPr>
        <w:t>5837/2990607;</w:t>
      </w:r>
    </w:p>
    <w:p>
      <w:pPr>
        <w:pStyle w:val="Style2"/>
        <w:keepNext w:val="0"/>
        <w:keepLines w:val="0"/>
        <w:widowControl w:val="0"/>
        <w:shd w:val="clear" w:color="auto" w:fill="auto"/>
        <w:bidi w:val="0"/>
        <w:spacing w:before="0" w:after="0"/>
        <w:ind w:left="420" w:right="0" w:firstLine="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ind w:left="420" w:right="0" w:firstLine="0"/>
        <w:jc w:val="both"/>
      </w:pPr>
      <w:r>
        <w:rPr>
          <w:color w:val="000000"/>
          <w:spacing w:val="0"/>
          <w:w w:val="100"/>
          <w:position w:val="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hd w:val="clear" w:color="auto" w:fill="auto"/>
          <w:lang w:val="cs-CZ" w:eastAsia="cs-CZ" w:bidi="cs-CZ"/>
        </w:rPr>
        <w:t xml:space="preserve">5837/2990607 </w:t>
      </w:r>
      <w:r>
        <w:rPr>
          <w:color w:val="000000"/>
          <w:spacing w:val="0"/>
          <w:w w:val="100"/>
          <w:position w:val="0"/>
          <w:shd w:val="clear" w:color="auto" w:fill="auto"/>
          <w:lang w:val="cs-CZ" w:eastAsia="cs-CZ" w:bidi="cs-CZ"/>
        </w:rPr>
        <w:t xml:space="preserve">jako </w:t>
      </w:r>
      <w:r>
        <w:rPr>
          <w:b/>
          <w:bCs/>
          <w:color w:val="000000"/>
          <w:spacing w:val="0"/>
          <w:w w:val="100"/>
          <w:position w:val="0"/>
          <w:shd w:val="clear" w:color="auto" w:fill="auto"/>
          <w:lang w:val="cs-CZ" w:eastAsia="cs-CZ" w:bidi="cs-CZ"/>
        </w:rPr>
        <w:t>„Předmět převodu 1").</w:t>
      </w:r>
    </w:p>
    <w:p>
      <w:pPr>
        <w:pStyle w:val="Style2"/>
        <w:keepNext w:val="0"/>
        <w:keepLines w:val="0"/>
        <w:widowControl w:val="0"/>
        <w:shd w:val="clear" w:color="auto" w:fill="auto"/>
        <w:bidi w:val="0"/>
        <w:spacing w:before="0" w:line="283" w:lineRule="auto"/>
        <w:ind w:left="420" w:right="0" w:hanging="420"/>
        <w:jc w:val="left"/>
      </w:pPr>
      <w:r>
        <w:rPr>
          <w:color w:val="000000"/>
          <w:spacing w:val="0"/>
          <w:w w:val="100"/>
          <w:position w:val="0"/>
          <w:shd w:val="clear" w:color="auto" w:fill="auto"/>
          <w:lang w:val="cs-CZ" w:eastAsia="cs-CZ" w:bidi="cs-CZ"/>
        </w:rPr>
        <w:t xml:space="preserve">1.3 </w:t>
      </w:r>
      <w:r>
        <w:rPr>
          <w:b/>
          <w:bCs/>
          <w:color w:val="000000"/>
          <w:spacing w:val="0"/>
          <w:w w:val="100"/>
          <w:position w:val="0"/>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12"/>
        <w:keepNext/>
        <w:keepLines/>
        <w:widowControl w:val="0"/>
        <w:numPr>
          <w:ilvl w:val="0"/>
          <w:numId w:val="3"/>
        </w:numPr>
        <w:shd w:val="clear" w:color="auto" w:fill="auto"/>
        <w:tabs>
          <w:tab w:pos="334" w:val="left"/>
        </w:tabs>
        <w:bidi w:val="0"/>
        <w:spacing w:before="0" w:after="380" w:line="290" w:lineRule="auto"/>
        <w:ind w:left="0" w:right="0" w:firstLine="0"/>
        <w:jc w:val="left"/>
      </w:pPr>
      <w:bookmarkStart w:id="13" w:name="bookmark13"/>
      <w:r>
        <w:rPr>
          <w:color w:val="000000"/>
          <w:spacing w:val="0"/>
          <w:w w:val="100"/>
          <w:position w:val="0"/>
          <w:shd w:val="clear" w:color="auto" w:fill="auto"/>
          <w:lang w:val="cs-CZ" w:eastAsia="cs-CZ" w:bidi="cs-CZ"/>
        </w:rPr>
        <w:t>Garážové stání</w:t>
      </w:r>
      <w:bookmarkEnd w:id="13"/>
    </w:p>
    <w:p>
      <w:pPr>
        <w:pStyle w:val="Style2"/>
        <w:keepNext w:val="0"/>
        <w:keepLines w:val="0"/>
        <w:widowControl w:val="0"/>
        <w:shd w:val="clear" w:color="auto" w:fill="auto"/>
        <w:bidi w:val="0"/>
        <w:spacing w:before="0" w:after="120" w:line="283" w:lineRule="auto"/>
        <w:ind w:left="420" w:right="0" w:hanging="420"/>
        <w:jc w:val="both"/>
      </w:pPr>
      <w:r>
        <w:rPr>
          <w:b/>
          <w:bCs/>
          <w:color w:val="000000"/>
          <w:spacing w:val="0"/>
          <w:w w:val="100"/>
          <w:position w:val="0"/>
          <w:shd w:val="clear" w:color="auto" w:fill="auto"/>
          <w:lang w:val="cs-CZ" w:eastAsia="cs-CZ" w:bidi="cs-CZ"/>
        </w:rPr>
        <w:t xml:space="preserve">jednotky č. 2737/100, </w:t>
      </w:r>
      <w:r>
        <w:rPr>
          <w:color w:val="000000"/>
          <w:spacing w:val="0"/>
          <w:w w:val="100"/>
          <w:position w:val="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color w:val="000000"/>
          <w:spacing w:val="0"/>
          <w:w w:val="100"/>
          <w:position w:val="0"/>
          <w:shd w:val="clear" w:color="auto" w:fill="auto"/>
          <w:lang w:val="cs-CZ" w:eastAsia="cs-CZ" w:bidi="cs-CZ"/>
        </w:rPr>
        <w:t>'Garáž 1');</w:t>
      </w:r>
    </w:p>
    <w:p>
      <w:pPr>
        <w:pStyle w:val="Style2"/>
        <w:keepNext w:val="0"/>
        <w:keepLines w:val="0"/>
        <w:widowControl w:val="0"/>
        <w:shd w:val="clear" w:color="auto" w:fill="auto"/>
        <w:bidi w:val="0"/>
        <w:spacing w:before="0" w:after="120"/>
        <w:ind w:left="420" w:right="0" w:hanging="420"/>
        <w:jc w:val="both"/>
      </w:pPr>
      <w:r>
        <w:rPr>
          <w:color w:val="000000"/>
          <w:spacing w:val="0"/>
          <w:w w:val="100"/>
          <w:position w:val="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 xml:space="preserve">Jako </w:t>
      </w:r>
      <w:r>
        <w:rPr>
          <w:b/>
          <w:bCs/>
          <w:color w:val="000000"/>
          <w:spacing w:val="0"/>
          <w:w w:val="100"/>
          <w:position w:val="0"/>
          <w:shd w:val="clear" w:color="auto" w:fill="auto"/>
          <w:lang w:val="cs-CZ" w:eastAsia="cs-CZ" w:bidi="cs-CZ"/>
        </w:rPr>
        <w:t xml:space="preserve">'Předmět převodu 2' </w:t>
      </w:r>
      <w:r>
        <w:rPr>
          <w:color w:val="000000"/>
          <w:spacing w:val="0"/>
          <w:w w:val="100"/>
          <w:position w:val="0"/>
          <w:shd w:val="clear" w:color="auto" w:fill="auto"/>
          <w:lang w:val="cs-CZ" w:eastAsia="cs-CZ" w:bidi="cs-CZ"/>
        </w:rPr>
        <w:t>se pro účely této smlouvy označuje: ’.</w:t>
      </w:r>
    </w:p>
    <w:p>
      <w:pPr>
        <w:pStyle w:val="Style2"/>
        <w:keepNext w:val="0"/>
        <w:keepLines w:val="0"/>
        <w:widowControl w:val="0"/>
        <w:shd w:val="clear" w:color="auto" w:fill="auto"/>
        <w:bidi w:val="0"/>
        <w:spacing w:before="0" w:after="380" w:line="276" w:lineRule="auto"/>
        <w:ind w:left="420" w:right="0" w:firstLine="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hd w:val="clear" w:color="auto" w:fill="auto"/>
          <w:lang w:val="cs-CZ" w:eastAsia="cs-CZ" w:bidi="cs-CZ"/>
        </w:rPr>
        <w:t xml:space="preserve">1/118 </w:t>
      </w:r>
      <w:r>
        <w:rPr>
          <w:color w:val="000000"/>
          <w:spacing w:val="0"/>
          <w:w w:val="100"/>
          <w:position w:val="0"/>
          <w:shd w:val="clear" w:color="auto" w:fill="auto"/>
          <w:lang w:val="cs-CZ" w:eastAsia="cs-CZ" w:bidi="cs-CZ"/>
        </w:rPr>
        <w:t xml:space="preserve">na </w:t>
      </w:r>
      <w:r>
        <w:rPr>
          <w:b/>
          <w:bCs/>
          <w:color w:val="000000"/>
          <w:spacing w:val="0"/>
          <w:w w:val="100"/>
          <w:position w:val="0"/>
          <w:shd w:val="clear" w:color="auto" w:fill="auto"/>
          <w:lang w:val="cs-CZ" w:eastAsia="cs-CZ" w:bidi="cs-CZ"/>
        </w:rPr>
        <w:t xml:space="preserve">Garáži 1, </w:t>
      </w:r>
      <w:r>
        <w:rPr>
          <w:color w:val="000000"/>
          <w:spacing w:val="0"/>
          <w:w w:val="100"/>
          <w:position w:val="0"/>
          <w:shd w:val="clear" w:color="auto" w:fill="auto"/>
          <w:lang w:val="cs-CZ" w:eastAsia="cs-CZ" w:bidi="cs-CZ"/>
        </w:rPr>
        <w:t>se kterým je spojeno právo užívat garážové stání č. C/P-050</w:t>
      </w:r>
    </w:p>
    <w:p>
      <w:pPr>
        <w:pStyle w:val="Style12"/>
        <w:keepNext/>
        <w:keepLines/>
        <w:widowControl w:val="0"/>
        <w:shd w:val="clear" w:color="auto" w:fill="auto"/>
        <w:bidi w:val="0"/>
        <w:spacing w:before="0" w:after="0" w:line="290" w:lineRule="auto"/>
        <w:ind w:left="0" w:right="0" w:firstLine="0"/>
        <w:jc w:val="center"/>
      </w:pPr>
      <w:bookmarkStart w:id="15" w:name="bookmark15"/>
      <w:r>
        <w:rPr>
          <w:color w:val="000000"/>
          <w:spacing w:val="0"/>
          <w:w w:val="100"/>
          <w:position w:val="0"/>
          <w:shd w:val="clear" w:color="auto" w:fill="auto"/>
          <w:lang w:val="cs-CZ" w:eastAsia="cs-CZ" w:bidi="cs-CZ"/>
        </w:rPr>
        <w:t>Článek II.</w:t>
      </w:r>
      <w:bookmarkEnd w:id="15"/>
    </w:p>
    <w:p>
      <w:pPr>
        <w:pStyle w:val="Style12"/>
        <w:keepNext/>
        <w:keepLines/>
        <w:widowControl w:val="0"/>
        <w:shd w:val="clear" w:color="auto" w:fill="auto"/>
        <w:bidi w:val="0"/>
        <w:spacing w:before="0" w:line="290" w:lineRule="auto"/>
        <w:ind w:left="0" w:right="0" w:firstLine="0"/>
        <w:jc w:val="center"/>
      </w:pPr>
      <w:r>
        <w:rPr>
          <w:color w:val="000000"/>
          <w:spacing w:val="0"/>
          <w:w w:val="100"/>
          <w:position w:val="0"/>
          <w:shd w:val="clear" w:color="auto" w:fill="auto"/>
          <w:lang w:val="cs-CZ" w:eastAsia="cs-CZ" w:bidi="cs-CZ"/>
        </w:rPr>
        <w:t>Předmět smlouvy</w:t>
      </w:r>
    </w:p>
    <w:p>
      <w:pPr>
        <w:pStyle w:val="Style2"/>
        <w:keepNext w:val="0"/>
        <w:keepLines w:val="0"/>
        <w:widowControl w:val="0"/>
        <w:numPr>
          <w:ilvl w:val="1"/>
          <w:numId w:val="5"/>
        </w:numPr>
        <w:shd w:val="clear" w:color="auto" w:fill="auto"/>
        <w:tabs>
          <w:tab w:pos="406" w:val="left"/>
        </w:tabs>
        <w:bidi w:val="0"/>
        <w:spacing w:before="0" w:after="720" w:line="293" w:lineRule="auto"/>
        <w:ind w:left="0" w:right="0" w:firstLine="0"/>
        <w:jc w:val="both"/>
      </w:pPr>
      <w:r>
        <w:rPr>
          <w:b/>
          <w:bCs/>
          <w:color w:val="000000"/>
          <w:spacing w:val="0"/>
          <w:w w:val="100"/>
          <w:position w:val="0"/>
          <w:shd w:val="clear" w:color="auto" w:fill="auto"/>
          <w:lang w:val="cs-CZ" w:eastAsia="cs-CZ" w:bidi="cs-CZ"/>
        </w:rPr>
        <w:t xml:space="preserve">Prodávající 2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hd w:val="clear" w:color="auto" w:fill="auto"/>
          <w:lang w:val="cs-CZ" w:eastAsia="cs-CZ" w:bidi="cs-CZ"/>
        </w:rPr>
        <w:t xml:space="preserve">ve výši 3 224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5"/>
        </w:numPr>
        <w:shd w:val="clear" w:color="auto" w:fill="auto"/>
        <w:tabs>
          <w:tab w:pos="406" w:val="left"/>
        </w:tabs>
        <w:bidi w:val="0"/>
        <w:spacing w:before="0" w:line="293" w:lineRule="auto"/>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429" w:right="1062" w:bottom="1710" w:left="1258" w:header="0" w:footer="3" w:gutter="0"/>
          <w:pgNumType w:start="1"/>
          <w:cols w:space="720"/>
          <w:noEndnote/>
          <w:titlePg/>
          <w:rtlGutter w:val="0"/>
          <w:docGrid w:linePitch="360"/>
        </w:sectPr>
      </w:pPr>
      <w:r>
        <w:rPr>
          <w:b/>
          <w:bCs/>
          <w:color w:val="000000"/>
          <w:spacing w:val="0"/>
          <w:w w:val="100"/>
          <w:position w:val="0"/>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hd w:val="clear" w:color="auto" w:fill="auto"/>
          <w:lang w:val="cs-CZ" w:eastAsia="cs-CZ" w:bidi="cs-CZ"/>
        </w:rPr>
        <w:t xml:space="preserve">ve výši 817 809,-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406" w:val="left"/>
        </w:tabs>
        <w:bidi w:val="0"/>
        <w:spacing w:before="0" w:after="900"/>
        <w:ind w:left="0" w:right="0" w:firstLine="0"/>
        <w:jc w:val="both"/>
      </w:pPr>
      <w:r>
        <w:rPr>
          <w:b/>
          <w:bCs/>
          <w:color w:val="000000"/>
          <w:spacing w:val="0"/>
          <w:w w:val="100"/>
          <w:position w:val="0"/>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kupujícímu do výlučného vlastnictví </w:t>
      </w:r>
      <w:r>
        <w:rPr>
          <w:b/>
          <w:bCs/>
          <w:color w:val="000000"/>
          <w:spacing w:val="0"/>
          <w:w w:val="100"/>
          <w:position w:val="0"/>
          <w:shd w:val="clear" w:color="auto" w:fill="auto"/>
          <w:lang w:val="cs-CZ" w:eastAsia="cs-CZ" w:bidi="cs-CZ"/>
        </w:rPr>
        <w:t xml:space="preserve">Předmět převodu 2, </w:t>
      </w:r>
      <w:r>
        <w:rPr>
          <w:color w:val="000000"/>
          <w:spacing w:val="0"/>
          <w:w w:val="100"/>
          <w:position w:val="0"/>
          <w:shd w:val="clear" w:color="auto" w:fill="auto"/>
          <w:lang w:val="cs-CZ" w:eastAsia="cs-CZ" w:bidi="cs-CZ"/>
        </w:rPr>
        <w:t xml:space="preserve">specifikovaný v či. I. odst. 1.3 této smlouvy, a to se všemi právy a povinnostmi, součástmi a příslušenstvím, za dohodnutou kupní cenu ve výši </w:t>
      </w:r>
      <w:r>
        <w:rPr>
          <w:b/>
          <w:bCs/>
          <w:color w:val="000000"/>
          <w:spacing w:val="0"/>
          <w:w w:val="100"/>
          <w:position w:val="0"/>
          <w:shd w:val="clear" w:color="auto" w:fill="auto"/>
          <w:lang w:val="cs-CZ" w:eastAsia="cs-CZ" w:bidi="cs-CZ"/>
        </w:rPr>
        <w:t xml:space="preserve">ve výši 119 976 Kč. </w:t>
      </w:r>
      <w:r>
        <w:rPr>
          <w:color w:val="000000"/>
          <w:spacing w:val="0"/>
          <w:w w:val="100"/>
          <w:position w:val="0"/>
          <w:shd w:val="clear" w:color="auto" w:fill="auto"/>
          <w:lang w:val="cs-CZ" w:eastAsia="cs-CZ" w:bidi="cs-CZ"/>
        </w:rPr>
        <w:t xml:space="preserve">Kupující </w:t>
      </w:r>
      <w:r>
        <w:rPr>
          <w:b/>
          <w:bCs/>
          <w:color w:val="000000"/>
          <w:spacing w:val="0"/>
          <w:w w:val="100"/>
          <w:position w:val="0"/>
          <w:shd w:val="clear" w:color="auto" w:fill="auto"/>
          <w:lang w:val="cs-CZ" w:eastAsia="cs-CZ" w:bidi="cs-CZ"/>
        </w:rPr>
        <w:t xml:space="preserve">Předmět převodu </w:t>
      </w:r>
      <w:r>
        <w:rPr>
          <w:color w:val="000000"/>
          <w:spacing w:val="0"/>
          <w:w w:val="100"/>
          <w:position w:val="0"/>
          <w:shd w:val="clear" w:color="auto" w:fill="auto"/>
          <w:lang w:val="cs-CZ" w:eastAsia="cs-CZ" w:bidi="cs-CZ"/>
        </w:rPr>
        <w:t>2 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414" w:val="left"/>
        </w:tabs>
        <w:bidi w:val="0"/>
        <w:spacing w:before="0" w:after="560" w:line="293" w:lineRule="auto"/>
        <w:ind w:left="0" w:right="0" w:firstLine="0"/>
        <w:jc w:val="both"/>
      </w:pPr>
      <w:r>
        <w:rPr>
          <w:color w:val="000000"/>
          <w:spacing w:val="0"/>
          <w:w w:val="100"/>
          <w:position w:val="0"/>
          <w:shd w:val="clear" w:color="auto" w:fill="auto"/>
          <w:lang w:val="cs-CZ" w:eastAsia="cs-CZ" w:bidi="cs-CZ"/>
        </w:rP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12"/>
        <w:keepNext/>
        <w:keepLines/>
        <w:widowControl w:val="0"/>
        <w:shd w:val="clear" w:color="auto" w:fill="auto"/>
        <w:bidi w:val="0"/>
        <w:spacing w:before="0" w:line="298" w:lineRule="auto"/>
        <w:ind w:left="0" w:right="0" w:firstLine="0"/>
        <w:jc w:val="center"/>
      </w:pPr>
      <w:bookmarkStart w:id="18" w:name="bookmark18"/>
      <w:r>
        <w:rPr>
          <w:color w:val="000000"/>
          <w:spacing w:val="0"/>
          <w:w w:val="100"/>
          <w:position w:val="0"/>
          <w:shd w:val="clear" w:color="auto" w:fill="auto"/>
          <w:lang w:val="cs-CZ" w:eastAsia="cs-CZ" w:bidi="cs-CZ"/>
        </w:rPr>
        <w:t>Článek III.</w:t>
        <w:br/>
        <w:t>Platební podmínky</w:t>
      </w:r>
      <w:bookmarkEnd w:id="18"/>
    </w:p>
    <w:p>
      <w:pPr>
        <w:pStyle w:val="Style2"/>
        <w:keepNext w:val="0"/>
        <w:keepLines w:val="0"/>
        <w:widowControl w:val="0"/>
        <w:numPr>
          <w:ilvl w:val="1"/>
          <w:numId w:val="7"/>
        </w:numPr>
        <w:shd w:val="clear" w:color="auto" w:fill="auto"/>
        <w:tabs>
          <w:tab w:pos="406" w:val="left"/>
        </w:tabs>
        <w:bidi w:val="0"/>
        <w:spacing w:before="0" w:after="56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12"/>
        <w:keepNext/>
        <w:keepLines/>
        <w:widowControl w:val="0"/>
        <w:shd w:val="clear" w:color="auto" w:fill="auto"/>
        <w:bidi w:val="0"/>
        <w:spacing w:before="0" w:after="60" w:line="240" w:lineRule="auto"/>
        <w:ind w:left="0" w:right="0" w:firstLine="0"/>
        <w:jc w:val="center"/>
      </w:pPr>
      <w:bookmarkStart w:id="20" w:name="bookmark20"/>
      <w:r>
        <w:rPr>
          <w:color w:val="000000"/>
          <w:spacing w:val="0"/>
          <w:w w:val="100"/>
          <w:position w:val="0"/>
          <w:shd w:val="clear" w:color="auto" w:fill="auto"/>
          <w:lang w:val="cs-CZ" w:eastAsia="cs-CZ" w:bidi="cs-CZ"/>
        </w:rPr>
        <w:t>Článek IV.</w:t>
      </w:r>
      <w:bookmarkEnd w:id="20"/>
    </w:p>
    <w:p>
      <w:pPr>
        <w:pStyle w:val="Style12"/>
        <w:keepNext/>
        <w:keepLines/>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cs-CZ" w:eastAsia="cs-CZ" w:bidi="cs-CZ"/>
        </w:rPr>
        <w:t>Prohlášení a závazky smluvních stran</w:t>
      </w:r>
    </w:p>
    <w:p>
      <w:pPr>
        <w:pStyle w:val="Style2"/>
        <w:keepNext w:val="0"/>
        <w:keepLines w:val="0"/>
        <w:widowControl w:val="0"/>
        <w:numPr>
          <w:ilvl w:val="1"/>
          <w:numId w:val="7"/>
        </w:numPr>
        <w:shd w:val="clear" w:color="auto" w:fill="auto"/>
        <w:tabs>
          <w:tab w:pos="406" w:val="left"/>
        </w:tabs>
        <w:bidi w:val="0"/>
        <w:spacing w:before="0" w:after="720" w:line="293" w:lineRule="auto"/>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7"/>
        </w:numPr>
        <w:shd w:val="clear" w:color="auto" w:fill="auto"/>
        <w:tabs>
          <w:tab w:pos="406" w:val="left"/>
        </w:tabs>
        <w:bidi w:val="0"/>
        <w:spacing w:before="0"/>
        <w:ind w:left="0" w:right="0" w:firstLine="0"/>
        <w:jc w:val="both"/>
      </w:pPr>
      <w:r>
        <w:rPr>
          <w:color w:val="000000"/>
          <w:spacing w:val="0"/>
          <w:w w:val="100"/>
          <w:position w:val="0"/>
          <w:shd w:val="clear" w:color="auto" w:fill="auto"/>
          <w:lang w:val="cs-CZ" w:eastAsia="cs-CZ" w:bidi="cs-CZ"/>
        </w:rP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7"/>
        </w:numPr>
        <w:shd w:val="clear" w:color="auto" w:fill="auto"/>
        <w:tabs>
          <w:tab w:pos="417" w:val="left"/>
        </w:tabs>
        <w:bidi w:val="0"/>
        <w:spacing w:before="0" w:after="460" w:line="286" w:lineRule="auto"/>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r>
        <w:rPr>
          <w:color w:val="000000"/>
          <w:spacing w:val="0"/>
          <w:w w:val="100"/>
          <w:position w:val="0"/>
          <w:shd w:val="clear" w:color="auto" w:fill="auto"/>
          <w:lang w:val="cs-CZ" w:eastAsia="cs-CZ" w:bidi="cs-CZ"/>
        </w:rPr>
        <w:t>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2"/>
        <w:keepNext w:val="0"/>
        <w:keepLines w:val="0"/>
        <w:widowControl w:val="0"/>
        <w:numPr>
          <w:ilvl w:val="1"/>
          <w:numId w:val="7"/>
        </w:numPr>
        <w:shd w:val="clear" w:color="auto" w:fill="auto"/>
        <w:tabs>
          <w:tab w:pos="421" w:val="left"/>
        </w:tabs>
        <w:bidi w:val="0"/>
        <w:spacing w:before="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2"/>
        <w:keepNext w:val="0"/>
        <w:keepLines w:val="0"/>
        <w:widowControl w:val="0"/>
        <w:numPr>
          <w:ilvl w:val="1"/>
          <w:numId w:val="7"/>
        </w:numPr>
        <w:shd w:val="clear" w:color="auto" w:fill="auto"/>
        <w:tabs>
          <w:tab w:pos="414" w:val="left"/>
        </w:tabs>
        <w:bidi w:val="0"/>
        <w:spacing w:before="0" w:after="460"/>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7"/>
        </w:numPr>
        <w:shd w:val="clear" w:color="auto" w:fill="auto"/>
        <w:tabs>
          <w:tab w:pos="414" w:val="left"/>
        </w:tabs>
        <w:bidi w:val="0"/>
        <w:spacing w:before="0" w:after="580"/>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12"/>
        <w:keepNext/>
        <w:keepLines/>
        <w:widowControl w:val="0"/>
        <w:shd w:val="clear" w:color="auto" w:fill="auto"/>
        <w:bidi w:val="0"/>
        <w:spacing w:before="0" w:after="0" w:line="290" w:lineRule="auto"/>
        <w:ind w:left="0" w:right="0" w:firstLine="0"/>
        <w:jc w:val="center"/>
      </w:pPr>
      <w:bookmarkStart w:id="23" w:name="bookmark23"/>
      <w:r>
        <w:rPr>
          <w:color w:val="000000"/>
          <w:spacing w:val="0"/>
          <w:w w:val="100"/>
          <w:position w:val="0"/>
          <w:shd w:val="clear" w:color="auto" w:fill="auto"/>
          <w:lang w:val="cs-CZ" w:eastAsia="cs-CZ" w:bidi="cs-CZ"/>
        </w:rPr>
        <w:t>Článek V.</w:t>
      </w:r>
      <w:bookmarkEnd w:id="23"/>
    </w:p>
    <w:p>
      <w:pPr>
        <w:pStyle w:val="Style12"/>
        <w:keepNext/>
        <w:keepLines/>
        <w:widowControl w:val="0"/>
        <w:shd w:val="clear" w:color="auto" w:fill="auto"/>
        <w:bidi w:val="0"/>
        <w:spacing w:before="0" w:line="290" w:lineRule="auto"/>
        <w:ind w:left="0" w:right="0" w:firstLine="0"/>
        <w:jc w:val="center"/>
      </w:pPr>
      <w:r>
        <w:rPr>
          <w:color w:val="000000"/>
          <w:spacing w:val="0"/>
          <w:w w:val="100"/>
          <w:position w:val="0"/>
          <w:shd w:val="clear" w:color="auto" w:fill="auto"/>
          <w:lang w:val="cs-CZ" w:eastAsia="cs-CZ" w:bidi="cs-CZ"/>
        </w:rPr>
        <w:t>Předání Předmětu převodu</w:t>
      </w:r>
    </w:p>
    <w:p>
      <w:pPr>
        <w:pStyle w:val="Style2"/>
        <w:keepNext w:val="0"/>
        <w:keepLines w:val="0"/>
        <w:widowControl w:val="0"/>
        <w:numPr>
          <w:ilvl w:val="1"/>
          <w:numId w:val="9"/>
        </w:numPr>
        <w:shd w:val="clear" w:color="auto" w:fill="auto"/>
        <w:tabs>
          <w:tab w:pos="403" w:val="left"/>
        </w:tabs>
        <w:bidi w:val="0"/>
        <w:spacing w:before="0"/>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2"/>
        <w:keepNext w:val="0"/>
        <w:keepLines w:val="0"/>
        <w:widowControl w:val="0"/>
        <w:numPr>
          <w:ilvl w:val="1"/>
          <w:numId w:val="9"/>
        </w:numPr>
        <w:shd w:val="clear" w:color="auto" w:fill="auto"/>
        <w:tabs>
          <w:tab w:pos="403" w:val="left"/>
        </w:tabs>
        <w:bidi w:val="0"/>
        <w:spacing w:before="0" w:line="283" w:lineRule="auto"/>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2"/>
        <w:keepNext w:val="0"/>
        <w:keepLines w:val="0"/>
        <w:widowControl w:val="0"/>
        <w:numPr>
          <w:ilvl w:val="1"/>
          <w:numId w:val="9"/>
        </w:numPr>
        <w:shd w:val="clear" w:color="auto" w:fill="auto"/>
        <w:tabs>
          <w:tab w:pos="399" w:val="left"/>
        </w:tabs>
        <w:bidi w:val="0"/>
        <w:spacing w:before="0" w:after="46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9"/>
        </w:numPr>
        <w:shd w:val="clear" w:color="auto" w:fill="auto"/>
        <w:tabs>
          <w:tab w:pos="421" w:val="left"/>
        </w:tabs>
        <w:bidi w:val="0"/>
        <w:spacing w:before="0" w:after="380" w:line="286" w:lineRule="auto"/>
        <w:ind w:left="0" w:right="0" w:firstLine="0"/>
        <w:jc w:val="left"/>
      </w:pPr>
      <w:r>
        <w:rPr>
          <w:color w:val="000000"/>
          <w:spacing w:val="0"/>
          <w:w w:val="100"/>
          <w:position w:val="0"/>
          <w:shd w:val="clear" w:color="auto" w:fill="auto"/>
          <w:lang w:val="cs-CZ" w:eastAsia="cs-CZ" w:bidi="cs-CZ"/>
        </w:rPr>
        <w:t>Služby a poplatky spojené s užíváním Předmětu převodu 1 á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12"/>
        <w:keepNext/>
        <w:keepLines/>
        <w:widowControl w:val="0"/>
        <w:shd w:val="clear" w:color="auto" w:fill="auto"/>
        <w:bidi w:val="0"/>
        <w:spacing w:before="0" w:after="0"/>
        <w:ind w:left="0" w:right="0" w:firstLine="0"/>
        <w:jc w:val="center"/>
      </w:pPr>
      <w:bookmarkStart w:id="26" w:name="bookmark26"/>
      <w:r>
        <w:rPr>
          <w:color w:val="000000"/>
          <w:spacing w:val="0"/>
          <w:w w:val="100"/>
          <w:position w:val="0"/>
          <w:shd w:val="clear" w:color="auto" w:fill="auto"/>
          <w:lang w:val="cs-CZ" w:eastAsia="cs-CZ" w:bidi="cs-CZ"/>
        </w:rPr>
        <w:t>Článek VI.</w:t>
      </w:r>
      <w:bookmarkEnd w:id="26"/>
    </w:p>
    <w:p>
      <w:pPr>
        <w:pStyle w:val="Style12"/>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Návrh na vklad, povinnost a náklady spojené se smlouvou</w:t>
      </w:r>
    </w:p>
    <w:p>
      <w:pPr>
        <w:pStyle w:val="Style2"/>
        <w:keepNext w:val="0"/>
        <w:keepLines w:val="0"/>
        <w:widowControl w:val="0"/>
        <w:numPr>
          <w:ilvl w:val="1"/>
          <w:numId w:val="11"/>
        </w:numPr>
        <w:shd w:val="clear" w:color="auto" w:fill="auto"/>
        <w:tabs>
          <w:tab w:pos="406" w:val="left"/>
        </w:tabs>
        <w:bidi w:val="0"/>
        <w:spacing w:before="0"/>
        <w:ind w:left="0" w:right="0" w:firstLine="0"/>
        <w:jc w:val="both"/>
      </w:pPr>
      <w:r>
        <w:rPr>
          <w:color w:val="000000"/>
          <w:spacing w:val="0"/>
          <w:w w:val="100"/>
          <w:position w:val="0"/>
          <w:shd w:val="clear" w:color="auto" w:fill="auto"/>
          <w:lang w:val="cs-CZ" w:eastAsia="cs-CZ" w:bidi="cs-CZ"/>
        </w:rPr>
        <w:t>Smluvní strany berou na vědomí, že vlastnictví k Předmětu převodu 1 a Předmětu převodu 2 přechází na kupujícího provedením vkladu vlastnického práva k Předmětu převodu 1 a Předmětu převodu 2, a to zpětně, ke dni podání návrhu na vklad.</w:t>
      </w:r>
    </w:p>
    <w:p>
      <w:pPr>
        <w:pStyle w:val="Style2"/>
        <w:keepNext w:val="0"/>
        <w:keepLines w:val="0"/>
        <w:widowControl w:val="0"/>
        <w:numPr>
          <w:ilvl w:val="1"/>
          <w:numId w:val="11"/>
        </w:numPr>
        <w:shd w:val="clear" w:color="auto" w:fill="auto"/>
        <w:tabs>
          <w:tab w:pos="406" w:val="left"/>
        </w:tabs>
        <w:bidi w:val="0"/>
        <w:spacing w:before="0" w:line="293" w:lineRule="auto"/>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2"/>
        <w:keepNext w:val="0"/>
        <w:keepLines w:val="0"/>
        <w:widowControl w:val="0"/>
        <w:numPr>
          <w:ilvl w:val="1"/>
          <w:numId w:val="11"/>
        </w:numPr>
        <w:shd w:val="clear" w:color="auto" w:fill="auto"/>
        <w:tabs>
          <w:tab w:pos="406" w:val="left"/>
        </w:tabs>
        <w:bidi w:val="0"/>
        <w:spacing w:before="0" w:line="293" w:lineRule="auto"/>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11"/>
        </w:numPr>
        <w:shd w:val="clear" w:color="auto" w:fill="auto"/>
        <w:tabs>
          <w:tab w:pos="414" w:val="left"/>
        </w:tabs>
        <w:bidi w:val="0"/>
        <w:spacing w:before="0" w:after="44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12"/>
        <w:keepNext/>
        <w:keepLines/>
        <w:widowControl w:val="0"/>
        <w:shd w:val="clear" w:color="auto" w:fill="auto"/>
        <w:bidi w:val="0"/>
        <w:spacing w:before="0" w:after="0"/>
        <w:ind w:left="0" w:right="0" w:firstLine="0"/>
        <w:jc w:val="center"/>
      </w:pPr>
      <w:bookmarkStart w:id="29" w:name="bookmark29"/>
      <w:r>
        <w:rPr>
          <w:color w:val="000000"/>
          <w:spacing w:val="0"/>
          <w:w w:val="100"/>
          <w:position w:val="0"/>
          <w:shd w:val="clear" w:color="auto" w:fill="auto"/>
          <w:lang w:val="cs-CZ" w:eastAsia="cs-CZ" w:bidi="cs-CZ"/>
        </w:rPr>
        <w:t>Článek VII.</w:t>
      </w:r>
      <w:bookmarkEnd w:id="29"/>
    </w:p>
    <w:p>
      <w:pPr>
        <w:pStyle w:val="Style12"/>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406" w:val="left"/>
        </w:tabs>
        <w:bidi w:val="0"/>
        <w:spacing w:before="0" w:line="295" w:lineRule="auto"/>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3"/>
        </w:numPr>
        <w:shd w:val="clear" w:color="auto" w:fill="auto"/>
        <w:tabs>
          <w:tab w:pos="406" w:val="left"/>
        </w:tabs>
        <w:bidi w:val="0"/>
        <w:spacing w:before="0" w:line="293" w:lineRule="auto"/>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3"/>
        </w:numPr>
        <w:shd w:val="clear" w:color="auto" w:fill="auto"/>
        <w:tabs>
          <w:tab w:pos="414" w:val="left"/>
        </w:tabs>
        <w:bidi w:val="0"/>
        <w:spacing w:before="0" w:after="440" w:line="283"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3"/>
        </w:numPr>
        <w:shd w:val="clear" w:color="auto" w:fill="auto"/>
        <w:tabs>
          <w:tab w:pos="421" w:val="left"/>
        </w:tabs>
        <w:bidi w:val="0"/>
        <w:spacing w:before="0" w:line="283" w:lineRule="auto"/>
        <w:ind w:left="0" w:right="0" w:firstLine="0"/>
        <w:jc w:val="left"/>
      </w:pPr>
      <w:r>
        <w:rPr>
          <w:color w:val="000000"/>
          <w:spacing w:val="0"/>
          <w:w w:val="100"/>
          <w:position w:val="0"/>
          <w:shd w:val="clear" w:color="auto" w:fill="auto"/>
          <w:lang w:val="cs-CZ" w:eastAsia="cs-CZ" w:bidi="cs-CZ"/>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3"/>
        </w:numPr>
        <w:shd w:val="clear" w:color="auto" w:fill="auto"/>
        <w:tabs>
          <w:tab w:pos="456" w:val="left"/>
        </w:tabs>
        <w:bidi w:val="0"/>
        <w:spacing w:before="0" w:after="260" w:line="293" w:lineRule="auto"/>
        <w:ind w:left="0" w:right="0" w:firstLine="0"/>
        <w:jc w:val="both"/>
      </w:pPr>
      <w:r>
        <w:rPr>
          <w:color w:val="000000"/>
          <w:spacing w:val="0"/>
          <w:w w:val="100"/>
          <w:position w:val="0"/>
          <w:shd w:val="clear" w:color="auto" w:fill="auto"/>
          <w:lang w:val="cs-CZ" w:eastAsia="cs-CZ" w:bidi="cs-CZ"/>
        </w:rPr>
        <w:t>Smluvní strany shodně prohlašují, že si tuto smlouvu před jejím podpisem přečetly, že byk uzavřena po vzájemném projednání, podle jejich pravé a svobodné vůle, určitě, vážně a srozumitelně nikoliv v tísni či za nápadně nevýhodných podmínek, na důkaz čehož připojují své vlastnoruční podpisy.</w:t>
      </w:r>
    </w:p>
    <w:p>
      <w:pPr>
        <w:pStyle w:val="Style2"/>
        <w:keepNext w:val="0"/>
        <w:keepLines w:val="0"/>
        <w:widowControl w:val="0"/>
        <w:shd w:val="clear" w:color="auto" w:fill="auto"/>
        <w:bidi w:val="0"/>
        <w:spacing w:before="0" w:after="0" w:line="257" w:lineRule="auto"/>
        <w:ind w:left="0" w:right="0" w:firstLine="0"/>
        <w:jc w:val="left"/>
        <w:rPr>
          <w:sz w:val="19"/>
          <w:szCs w:val="19"/>
        </w:rPr>
      </w:pPr>
      <w:r>
        <w:rPr>
          <w:color w:val="000000"/>
          <w:spacing w:val="0"/>
          <w:w w:val="100"/>
          <w:position w:val="0"/>
          <w:sz w:val="19"/>
          <w:szCs w:val="19"/>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57"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 usnesením ZmP č. Z/1252/2024 ze dne 22.04.2024</w:t>
      </w:r>
    </w:p>
    <w:p>
      <w:pPr>
        <w:pStyle w:val="Style2"/>
        <w:keepNext w:val="0"/>
        <w:keepLines w:val="0"/>
        <w:widowControl w:val="0"/>
        <w:shd w:val="clear" w:color="auto" w:fill="auto"/>
        <w:bidi w:val="0"/>
        <w:spacing w:before="0" w:after="340" w:line="257" w:lineRule="auto"/>
        <w:ind w:left="0" w:right="0" w:firstLine="0"/>
        <w:jc w:val="left"/>
        <w:rPr>
          <w:sz w:val="19"/>
          <w:szCs w:val="19"/>
        </w:rPr>
      </w:pPr>
      <w:r>
        <w:rPr>
          <w:color w:val="000000"/>
          <w:spacing w:val="0"/>
          <w:w w:val="100"/>
          <w:position w:val="0"/>
          <w:sz w:val="19"/>
          <w:szCs w:val="19"/>
          <w:shd w:val="clear" w:color="auto" w:fill="auto"/>
          <w:lang w:val="cs-CZ" w:eastAsia="cs-CZ" w:bidi="cs-CZ"/>
        </w:rPr>
        <w:t>Záměr byl zveřejněn na úřední desce a elektronické úřední desce Magistrátu města Pardubic: vyvěšeno dne: 04.03.2024 svěšeno dne: 20.03.2024</w:t>
      </w:r>
    </w:p>
    <w:p>
      <w:pPr>
        <w:pStyle w:val="Style2"/>
        <w:keepNext w:val="0"/>
        <w:keepLines w:val="0"/>
        <w:widowControl w:val="0"/>
        <w:shd w:val="clear" w:color="auto" w:fill="auto"/>
        <w:tabs>
          <w:tab w:leader="dot" w:pos="2106" w:val="left"/>
        </w:tabs>
        <w:bidi w:val="0"/>
        <w:spacing w:before="0" w:after="340" w:line="240" w:lineRule="auto"/>
        <w:ind w:left="0" w:right="0" w:firstLine="0"/>
        <w:jc w:val="left"/>
      </w:pPr>
      <w:r>
        <w:rPr>
          <w:color w:val="000000"/>
          <w:spacing w:val="0"/>
          <w:w w:val="100"/>
          <w:position w:val="0"/>
          <w:shd w:val="clear" w:color="auto" w:fill="auto"/>
          <w:lang w:val="cs-CZ" w:eastAsia="cs-CZ" w:bidi="cs-CZ"/>
        </w:rPr>
        <w:t>V Pardubicích, dne</w:t>
        <w:tab/>
      </w:r>
    </w:p>
    <w:p>
      <w:pPr>
        <w:pStyle w:val="Style2"/>
        <w:keepNext w:val="0"/>
        <w:keepLines w:val="0"/>
        <w:widowControl w:val="0"/>
        <w:shd w:val="clear" w:color="auto" w:fill="auto"/>
        <w:bidi w:val="0"/>
        <w:spacing w:before="0" w:after="92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3957320</wp:posOffset>
                </wp:positionH>
                <wp:positionV relativeFrom="paragraph">
                  <wp:posOffset>12700</wp:posOffset>
                </wp:positionV>
                <wp:extent cx="557530" cy="164465"/>
                <wp:wrapSquare wrapText="left"/>
                <wp:docPr id="7" name="Shape 7"/>
                <a:graphic xmlns:a="http://schemas.openxmlformats.org/drawingml/2006/main">
                  <a:graphicData uri="http://schemas.microsoft.com/office/word/2010/wordprocessingShape">
                    <wps:wsp>
                      <wps:cNvSpPr txBox="1"/>
                      <wps:spPr>
                        <a:xfrm>
                          <a:ext cx="55753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3" type="#_x0000_t202" style="position:absolute;margin-left:311.60000000000002pt;margin-top:1.pt;width:43.899999999999999pt;height:12.9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pBdr>
          <w:top w:val="single" w:sz="4" w:space="0" w:color="auto"/>
        </w:pBdr>
        <w:shd w:val="clear" w:color="auto" w:fill="auto"/>
        <w:bidi w:val="0"/>
        <w:spacing w:before="0" w:after="0" w:line="240" w:lineRule="auto"/>
        <w:ind w:left="1100" w:right="0" w:firstLine="0"/>
        <w:jc w:val="left"/>
      </w:pPr>
      <w:r>
        <w:rPr>
          <w:color w:val="000000"/>
          <w:spacing w:val="0"/>
          <w:w w:val="100"/>
          <w:position w:val="0"/>
          <w:shd w:val="clear" w:color="auto" w:fill="auto"/>
          <w:lang w:val="cs-CZ" w:eastAsia="cs-CZ" w:bidi="cs-CZ"/>
        </w:rPr>
        <w:t>^tvo POSEIDON</w:t>
      </w:r>
    </w:p>
    <w:p>
      <w:pPr>
        <w:pStyle w:val="Style16"/>
        <w:keepNext w:val="0"/>
        <w:keepLines w:val="0"/>
        <w:widowControl w:val="0"/>
        <w:shd w:val="clear" w:color="auto" w:fill="auto"/>
        <w:bidi w:val="0"/>
        <w:spacing w:before="0" w:after="340" w:line="240" w:lineRule="auto"/>
        <w:ind w:left="1100" w:right="0" w:firstLine="0"/>
        <w:jc w:val="left"/>
        <w:rPr>
          <w:sz w:val="13"/>
          <w:szCs w:val="13"/>
        </w:rPr>
      </w:pPr>
      <w:r>
        <w:rPr>
          <w:color w:val="000000"/>
          <w:spacing w:val="0"/>
          <w:w w:val="100"/>
          <w:position w:val="0"/>
          <w:sz w:val="13"/>
          <w:szCs w:val="13"/>
          <w:shd w:val="clear" w:color="auto" w:fill="auto"/>
          <w:lang w:val="cs-CZ" w:eastAsia="cs-CZ" w:bidi="cs-CZ"/>
        </w:rPr>
        <w:t>udávajícího je uložen na Katastru</w:t>
      </w:r>
    </w:p>
    <w:p>
      <w:pPr>
        <w:pStyle w:val="Style2"/>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6"/>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Podpisový vzor prodávajícího je uložen na Katastru</w:t>
      </w:r>
    </w:p>
    <w:sectPr>
      <w:headerReference w:type="default" r:id="rId9"/>
      <w:footerReference w:type="default" r:id="rId10"/>
      <w:footnotePr>
        <w:pos w:val="pageBottom"/>
        <w:numFmt w:val="decimal"/>
        <w:numRestart w:val="continuous"/>
      </w:footnotePr>
      <w:type w:val="continuous"/>
      <w:pgSz w:w="11900" w:h="16840"/>
      <w:pgMar w:top="1429" w:right="1062" w:bottom="1710" w:left="1258" w:header="100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3797935</wp:posOffset>
              </wp:positionH>
              <wp:positionV relativeFrom="page">
                <wp:posOffset>10163175</wp:posOffset>
              </wp:positionV>
              <wp:extent cx="59690" cy="91440"/>
              <wp:wrapNone/>
              <wp:docPr id="1" name="Shape 1"/>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Palatino Linotype" w:eastAsia="Palatino Linotype" w:hAnsi="Palatino Linotype" w:cs="Palatino Linotype"/>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9.05000000000001pt;margin-top:800.25pt;width:4.7000000000000002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Palatino Linotype" w:eastAsia="Palatino Linotype" w:hAnsi="Palatino Linotype" w:cs="Palatino Linotype"/>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3807460</wp:posOffset>
              </wp:positionH>
              <wp:positionV relativeFrom="page">
                <wp:posOffset>10151745</wp:posOffset>
              </wp:positionV>
              <wp:extent cx="59690" cy="91440"/>
              <wp:wrapNone/>
              <wp:docPr id="5" name="Shape 5"/>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Palatino Linotype" w:eastAsia="Palatino Linotype" w:hAnsi="Palatino Linotype" w:cs="Palatino Linotype"/>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9.80000000000001pt;margin-top:799.35000000000002pt;width:4.7000000000000002pt;height:7.2000000000000002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Palatino Linotype" w:eastAsia="Palatino Linotype" w:hAnsi="Palatino Linotype" w:cs="Palatino Linotype"/>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3814445</wp:posOffset>
              </wp:positionH>
              <wp:positionV relativeFrom="page">
                <wp:posOffset>10378440</wp:posOffset>
              </wp:positionV>
              <wp:extent cx="59690" cy="98425"/>
              <wp:wrapNone/>
              <wp:docPr id="9" name="Shape 9"/>
              <a:graphic xmlns:a="http://schemas.openxmlformats.org/drawingml/2006/main">
                <a:graphicData uri="http://schemas.microsoft.com/office/word/2010/wordprocessingShape">
                  <wps:wsp>
                    <wps:cNvSpPr txBox="1"/>
                    <wps:spPr>
                      <a:xfrm>
                        <a:ext cx="59690" cy="984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Palatino Linotype" w:eastAsia="Palatino Linotype" w:hAnsi="Palatino Linotype" w:cs="Palatino Linotype"/>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300.35000000000002pt;margin-top:817.20000000000005pt;width:4.7000000000000002pt;height:7.75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Palatino Linotype" w:eastAsia="Palatino Linotype" w:hAnsi="Palatino Linotype" w:cs="Palatino Linotype"/>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828675</wp:posOffset>
              </wp:positionH>
              <wp:positionV relativeFrom="page">
                <wp:posOffset>340360</wp:posOffset>
              </wp:positionV>
              <wp:extent cx="5746750" cy="109855"/>
              <wp:wrapNone/>
              <wp:docPr id="3" name="Shape 3"/>
              <a:graphic xmlns:a="http://schemas.openxmlformats.org/drawingml/2006/main">
                <a:graphicData uri="http://schemas.microsoft.com/office/word/2010/wordprocessingShape">
                  <wps:wsp>
                    <wps:cNvSpPr txBox="1"/>
                    <wps:spPr>
                      <a:xfrm>
                        <a:ext cx="5746750" cy="109855"/>
                      </a:xfrm>
                      <a:prstGeom prst="rect"/>
                      <a:noFill/>
                    </wps:spPr>
                    <wps:txbx>
                      <w:txbxContent>
                        <w:p>
                          <w:pPr>
                            <w:pStyle w:val="Style7"/>
                            <w:keepNext w:val="0"/>
                            <w:keepLines w:val="0"/>
                            <w:widowControl w:val="0"/>
                            <w:shd w:val="clear" w:color="auto" w:fill="auto"/>
                            <w:tabs>
                              <w:tab w:pos="905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048</w:t>
                            <w:tab/>
                            <w:t>Č.sml.K 2024-2737-113</w:t>
                          </w:r>
                        </w:p>
                      </w:txbxContent>
                    </wps:txbx>
                    <wps:bodyPr lIns="0" tIns="0" rIns="0" bIns="0">
                      <a:spAutoFit/>
                    </wps:bodyPr>
                  </wps:wsp>
                </a:graphicData>
              </a:graphic>
            </wp:anchor>
          </w:drawing>
        </mc:Choice>
        <mc:Fallback>
          <w:pict>
            <v:shape id="_x0000_s1029" type="#_x0000_t202" style="position:absolute;margin-left:65.25pt;margin-top:26.800000000000001pt;width:452.5pt;height:8.6500000000000004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5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048</w:t>
                      <w:tab/>
                      <w:t>Č.sml.K 2024-2737-113</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5">
    <w:name w:val="Nadpis #1_"/>
    <w:basedOn w:val="DefaultParagraphFont"/>
    <w:link w:val="Style4"/>
    <w:rPr>
      <w:rFonts w:ascii="Calibri" w:eastAsia="Calibri" w:hAnsi="Calibri" w:cs="Calibri"/>
      <w:b w:val="0"/>
      <w:bCs w:val="0"/>
      <w:i w:val="0"/>
      <w:iCs w:val="0"/>
      <w:smallCaps w:val="0"/>
      <w:strike w:val="0"/>
      <w:sz w:val="32"/>
      <w:szCs w:val="32"/>
      <w:u w:val="none"/>
    </w:rPr>
  </w:style>
  <w:style w:type="character" w:customStyle="1" w:styleId="CharStyle8">
    <w:name w:val="Záhlaví nebo zápatí_"/>
    <w:basedOn w:val="DefaultParagraphFont"/>
    <w:link w:val="Style7"/>
    <w:rPr>
      <w:rFonts w:ascii="Cambria" w:eastAsia="Cambria" w:hAnsi="Cambria" w:cs="Cambria"/>
      <w:b w:val="0"/>
      <w:bCs w:val="0"/>
      <w:i w:val="0"/>
      <w:iCs w:val="0"/>
      <w:smallCaps w:val="0"/>
      <w:strike w:val="0"/>
      <w:sz w:val="18"/>
      <w:szCs w:val="18"/>
      <w:u w:val="none"/>
    </w:rPr>
  </w:style>
  <w:style w:type="character" w:customStyle="1" w:styleId="CharStyle13">
    <w:name w:val="Nadpis #2_"/>
    <w:basedOn w:val="DefaultParagraphFont"/>
    <w:link w:val="Style12"/>
    <w:rPr>
      <w:rFonts w:ascii="Cambria" w:eastAsia="Cambria" w:hAnsi="Cambria" w:cs="Cambria"/>
      <w:b/>
      <w:bCs/>
      <w:i w:val="0"/>
      <w:iCs w:val="0"/>
      <w:smallCaps w:val="0"/>
      <w:strike w:val="0"/>
      <w:sz w:val="20"/>
      <w:szCs w:val="20"/>
      <w:u w:val="none"/>
    </w:rPr>
  </w:style>
  <w:style w:type="character" w:customStyle="1" w:styleId="CharStyle17">
    <w:name w:val="Základní text (4)_"/>
    <w:basedOn w:val="DefaultParagraphFont"/>
    <w:link w:val="Style16"/>
    <w:rPr>
      <w:rFonts w:ascii="Arial" w:eastAsia="Arial" w:hAnsi="Arial" w:cs="Arial"/>
      <w:b w:val="0"/>
      <w:bCs w:val="0"/>
      <w:i w:val="0"/>
      <w:iCs w:val="0"/>
      <w:smallCaps w:val="0"/>
      <w:strike w:val="0"/>
      <w:sz w:val="14"/>
      <w:szCs w:val="14"/>
      <w:u w:val="none"/>
    </w:rPr>
  </w:style>
  <w:style w:type="paragraph" w:customStyle="1" w:styleId="Style2">
    <w:name w:val="Základní text"/>
    <w:basedOn w:val="Normal"/>
    <w:link w:val="CharStyle3"/>
    <w:pPr>
      <w:widowControl w:val="0"/>
      <w:shd w:val="clear" w:color="auto" w:fill="auto"/>
      <w:spacing w:after="300" w:line="290" w:lineRule="auto"/>
    </w:pPr>
    <w:rPr>
      <w:rFonts w:ascii="Cambria" w:eastAsia="Cambria" w:hAnsi="Cambria" w:cs="Cambria"/>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auto"/>
      <w:outlineLvl w:val="0"/>
    </w:pPr>
    <w:rPr>
      <w:rFonts w:ascii="Calibri" w:eastAsia="Calibri" w:hAnsi="Calibri" w:cs="Calibri"/>
      <w:b w:val="0"/>
      <w:bCs w:val="0"/>
      <w:i w:val="0"/>
      <w:iCs w:val="0"/>
      <w:smallCaps w:val="0"/>
      <w:strike w:val="0"/>
      <w:sz w:val="32"/>
      <w:szCs w:val="32"/>
      <w:u w:val="none"/>
    </w:rPr>
  </w:style>
  <w:style w:type="paragraph" w:customStyle="1" w:styleId="Style7">
    <w:name w:val="Záhlaví nebo zápatí"/>
    <w:basedOn w:val="Normal"/>
    <w:link w:val="CharStyle8"/>
    <w:pPr>
      <w:widowControl w:val="0"/>
      <w:shd w:val="clear" w:color="auto" w:fill="auto"/>
    </w:pPr>
    <w:rPr>
      <w:rFonts w:ascii="Cambria" w:eastAsia="Cambria" w:hAnsi="Cambria" w:cs="Cambria"/>
      <w:b w:val="0"/>
      <w:bCs w:val="0"/>
      <w:i w:val="0"/>
      <w:iCs w:val="0"/>
      <w:smallCaps w:val="0"/>
      <w:strike w:val="0"/>
      <w:sz w:val="18"/>
      <w:szCs w:val="18"/>
      <w:u w:val="none"/>
    </w:rPr>
  </w:style>
  <w:style w:type="paragraph" w:customStyle="1" w:styleId="Style12">
    <w:name w:val="Nadpis #2"/>
    <w:basedOn w:val="Normal"/>
    <w:link w:val="CharStyle13"/>
    <w:pPr>
      <w:widowControl w:val="0"/>
      <w:shd w:val="clear" w:color="auto" w:fill="auto"/>
      <w:spacing w:after="300" w:line="293" w:lineRule="auto"/>
      <w:jc w:val="center"/>
      <w:outlineLvl w:val="1"/>
    </w:pPr>
    <w:rPr>
      <w:rFonts w:ascii="Cambria" w:eastAsia="Cambria" w:hAnsi="Cambria" w:cs="Cambria"/>
      <w:b/>
      <w:bCs/>
      <w:i w:val="0"/>
      <w:iCs w:val="0"/>
      <w:smallCaps w:val="0"/>
      <w:strike w:val="0"/>
      <w:sz w:val="20"/>
      <w:szCs w:val="20"/>
      <w:u w:val="none"/>
    </w:rPr>
  </w:style>
  <w:style w:type="paragraph" w:customStyle="1" w:styleId="Style16">
    <w:name w:val="Základní text (4)"/>
    <w:basedOn w:val="Normal"/>
    <w:link w:val="CharStyle17"/>
    <w:pPr>
      <w:widowControl w:val="0"/>
      <w:shd w:val="clear" w:color="auto" w:fill="auto"/>
      <w:spacing w:after="40"/>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