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40" w:line="240" w:lineRule="auto"/>
        <w:ind w:left="0" w:right="0" w:firstLine="500"/>
        <w:jc w:val="left"/>
        <w:rPr>
          <w:sz w:val="26"/>
          <w:szCs w:val="26"/>
        </w:rPr>
      </w:pPr>
      <w:bookmarkStart w:id="0" w:name="bookmark0"/>
      <w:r>
        <w:rPr>
          <w:rFonts w:ascii="Cambria" w:eastAsia="Cambria" w:hAnsi="Cambria" w:cs="Cambria"/>
          <w:b/>
          <w:bCs/>
          <w:color w:val="000000"/>
          <w:spacing w:val="0"/>
          <w:w w:val="100"/>
          <w:position w:val="0"/>
          <w:sz w:val="26"/>
          <w:szCs w:val="26"/>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86"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40" w:line="286" w:lineRule="auto"/>
        <w:ind w:left="0" w:right="0" w:firstLine="640"/>
        <w:jc w:val="both"/>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line="286"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02"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88" w:lineRule="auto"/>
        <w:ind w:left="0" w:right="0" w:firstLine="640"/>
        <w:jc w:val="both"/>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line="288" w:lineRule="auto"/>
        <w:ind w:left="0" w:right="0" w:firstLine="640"/>
        <w:jc w:val="both"/>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490" w:val="left"/>
        </w:tabs>
        <w:bidi w:val="0"/>
        <w:spacing w:before="0" w:after="0" w:line="288" w:lineRule="auto"/>
        <w:ind w:left="640" w:right="0" w:firstLine="40"/>
        <w:jc w:val="both"/>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352" w:val="left"/>
        </w:tabs>
        <w:bidi w:val="0"/>
        <w:spacing w:before="0" w:line="288" w:lineRule="auto"/>
        <w:ind w:left="0" w:right="0" w:firstLine="640"/>
        <w:jc w:val="both"/>
      </w:pPr>
      <w:r>
        <w:rPr>
          <w:color w:val="000000"/>
          <w:spacing w:val="0"/>
          <w:w w:val="100"/>
          <w:position w:val="0"/>
          <w:shd w:val="clear" w:color="auto" w:fill="auto"/>
          <w:lang w:val="cs-CZ" w:eastAsia="cs-CZ" w:bidi="cs-CZ"/>
        </w:rPr>
        <w:t>představenstva _</w:t>
        <w:tab/>
        <w:t>, e-mail:</w:t>
      </w:r>
    </w:p>
    <w:p>
      <w:pPr>
        <w:pStyle w:val="Style2"/>
        <w:keepNext w:val="0"/>
        <w:keepLines w:val="0"/>
        <w:widowControl w:val="0"/>
        <w:shd w:val="clear" w:color="auto" w:fill="auto"/>
        <w:bidi w:val="0"/>
        <w:spacing w:before="0" w:after="0" w:line="286" w:lineRule="auto"/>
        <w:ind w:left="0" w:right="0" w:firstLine="6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1")</w:t>
      </w:r>
    </w:p>
    <w:p>
      <w:pPr>
        <w:pStyle w:val="Style2"/>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86" w:lineRule="auto"/>
        <w:ind w:left="0" w:right="0" w:firstLine="500"/>
        <w:jc w:val="both"/>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after="0" w:line="286" w:lineRule="auto"/>
        <w:ind w:left="0" w:right="0" w:firstLine="500"/>
        <w:jc w:val="both"/>
      </w:pPr>
      <w:r>
        <w:rPr>
          <w:color w:val="000000"/>
          <w:spacing w:val="0"/>
          <w:w w:val="100"/>
          <w:position w:val="0"/>
          <w:shd w:val="clear" w:color="auto" w:fill="auto"/>
          <w:lang w:val="cs-CZ" w:eastAsia="cs-CZ" w:bidi="cs-CZ"/>
        </w:rPr>
        <w:t>sídlem Pernštýnské náměstí 1,530 02 Pardubice</w:t>
      </w:r>
    </w:p>
    <w:p>
      <w:pPr>
        <w:pStyle w:val="Style2"/>
        <w:keepNext w:val="0"/>
        <w:keepLines w:val="0"/>
        <w:widowControl w:val="0"/>
        <w:shd w:val="clear" w:color="auto" w:fill="auto"/>
        <w:bidi w:val="0"/>
        <w:spacing w:before="0" w:after="0" w:line="286" w:lineRule="auto"/>
        <w:ind w:left="0" w:right="0" w:firstLine="500"/>
        <w:jc w:val="both"/>
      </w:pPr>
      <w:r>
        <w:rPr>
          <w:color w:val="000000"/>
          <w:spacing w:val="0"/>
          <w:w w:val="100"/>
          <w:position w:val="0"/>
          <w:shd w:val="clear" w:color="auto" w:fill="auto"/>
          <w:lang w:val="cs-CZ" w:eastAsia="cs-CZ" w:bidi="cs-CZ"/>
        </w:rPr>
        <w:t>zastoupené primátorem Bc. Janem Nadrchalem</w:t>
      </w:r>
    </w:p>
    <w:p>
      <w:pPr>
        <w:pStyle w:val="Style2"/>
        <w:keepNext w:val="0"/>
        <w:keepLines w:val="0"/>
        <w:widowControl w:val="0"/>
        <w:shd w:val="clear" w:color="auto" w:fill="auto"/>
        <w:bidi w:val="0"/>
        <w:spacing w:before="0" w:line="286"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after="0" w:line="286"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„prodávající")</w:t>
      </w:r>
    </w:p>
    <w:p>
      <w:pPr>
        <w:pStyle w:val="Style2"/>
        <w:keepNext w:val="0"/>
        <w:keepLines w:val="0"/>
        <w:widowControl w:val="0"/>
        <w:shd w:val="clear" w:color="auto" w:fill="auto"/>
        <w:bidi w:val="0"/>
        <w:spacing w:before="0" w:line="286"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00" w:lineRule="auto"/>
        <w:ind w:left="0" w:right="0" w:firstLine="0"/>
        <w:jc w:val="both"/>
      </w:pPr>
      <w:r>
        <w:rPr>
          <w:b/>
          <w:bCs/>
          <w:color w:val="000000"/>
          <w:spacing w:val="0"/>
          <w:w w:val="100"/>
          <w:position w:val="0"/>
          <w:sz w:val="19"/>
          <w:szCs w:val="19"/>
          <w:shd w:val="clear" w:color="auto" w:fill="auto"/>
          <w:lang w:val="cs-CZ" w:eastAsia="cs-CZ" w:bidi="cs-CZ"/>
        </w:rPr>
        <w:t xml:space="preserve">Vohnoutová Taťana, </w:t>
      </w:r>
      <w:r>
        <w:rPr>
          <w:color w:val="000000"/>
          <w:spacing w:val="0"/>
          <w:w w:val="100"/>
          <w:position w:val="0"/>
          <w:shd w:val="clear" w:color="auto" w:fill="auto"/>
          <w:lang w:val="cs-CZ" w:eastAsia="cs-CZ" w:bidi="cs-CZ"/>
        </w:rPr>
        <w:t>RČ: 65</w:t>
      </w:r>
    </w:p>
    <w:p>
      <w:pPr>
        <w:pStyle w:val="Style2"/>
        <w:keepNext w:val="0"/>
        <w:keepLines w:val="0"/>
        <w:widowControl w:val="0"/>
        <w:shd w:val="clear" w:color="auto" w:fill="auto"/>
        <w:tabs>
          <w:tab w:pos="3524" w:val="left"/>
        </w:tabs>
        <w:bidi w:val="0"/>
        <w:spacing w:before="0" w:line="286" w:lineRule="auto"/>
        <w:ind w:left="0" w:right="0" w:firstLine="500"/>
        <w:jc w:val="both"/>
      </w:pPr>
      <w:r>
        <w:rPr>
          <w:color w:val="000000"/>
          <w:spacing w:val="0"/>
          <w:w w:val="100"/>
          <w:position w:val="0"/>
          <w:shd w:val="clear" w:color="auto" w:fill="auto"/>
          <w:lang w:val="cs-CZ" w:eastAsia="cs-CZ" w:bidi="cs-CZ"/>
        </w:rPr>
        <w:t>bytem</w:t>
        <w:tab/>
        <w:t>, 530 02 Pardubice</w:t>
      </w:r>
    </w:p>
    <w:p>
      <w:pPr>
        <w:pStyle w:val="Style2"/>
        <w:keepNext w:val="0"/>
        <w:keepLines w:val="0"/>
        <w:widowControl w:val="0"/>
        <w:shd w:val="clear" w:color="auto" w:fill="auto"/>
        <w:bidi w:val="0"/>
        <w:spacing w:before="0" w:after="0" w:line="286"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line="286" w:lineRule="auto"/>
        <w:ind w:left="0" w:right="0" w:firstLine="50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line="286" w:lineRule="auto"/>
        <w:ind w:left="0" w:right="0" w:firstLine="50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30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line="30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684" w:val="left"/>
        </w:tabs>
        <w:bidi w:val="0"/>
        <w:spacing w:before="0" w:line="283" w:lineRule="auto"/>
        <w:ind w:left="0" w:right="0" w:firstLine="0"/>
        <w:jc w:val="both"/>
      </w:pPr>
      <w:r>
        <w:rPr>
          <w:color w:val="000000"/>
          <w:spacing w:val="0"/>
          <w:w w:val="100"/>
          <w:position w:val="0"/>
          <w:shd w:val="clear" w:color="auto" w:fill="auto"/>
          <w:lang w:val="cs-CZ" w:eastAsia="cs-CZ" w:bidi="cs-CZ"/>
        </w:rPr>
        <w:t xml:space="preserve">Smluvní strany uzavřely dne 18.07.2022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684" w:val="left"/>
        </w:tabs>
        <w:bidi w:val="0"/>
        <w:spacing w:before="0"/>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2"/>
        <w:keepNext w:val="0"/>
        <w:keepLines w:val="0"/>
        <w:widowControl w:val="0"/>
        <w:numPr>
          <w:ilvl w:val="0"/>
          <w:numId w:val="3"/>
        </w:numPr>
        <w:shd w:val="clear" w:color="auto" w:fill="auto"/>
        <w:tabs>
          <w:tab w:pos="727" w:val="left"/>
        </w:tabs>
        <w:bidi w:val="0"/>
        <w:spacing w:before="0" w:after="300" w:line="298" w:lineRule="auto"/>
        <w:ind w:left="0" w:right="0" w:firstLine="400"/>
        <w:jc w:val="both"/>
        <w:rPr>
          <w:sz w:val="19"/>
          <w:szCs w:val="19"/>
        </w:rPr>
      </w:pPr>
      <w:r>
        <w:rPr>
          <w:b/>
          <w:bCs/>
          <w:color w:val="000000"/>
          <w:spacing w:val="0"/>
          <w:w w:val="100"/>
          <w:position w:val="0"/>
          <w:sz w:val="19"/>
          <w:szCs w:val="19"/>
          <w:shd w:val="clear" w:color="auto" w:fill="auto"/>
          <w:lang w:val="cs-CZ" w:eastAsia="cs-CZ" w:bidi="cs-CZ"/>
        </w:rPr>
        <w:t>Bytová jednotka</w:t>
      </w:r>
    </w:p>
    <w:p>
      <w:pPr>
        <w:pStyle w:val="Style2"/>
        <w:keepNext w:val="0"/>
        <w:keepLines w:val="0"/>
        <w:widowControl w:val="0"/>
        <w:shd w:val="clear" w:color="auto" w:fill="auto"/>
        <w:bidi w:val="0"/>
        <w:spacing w:before="0" w:after="0"/>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bytová jednotka č. 2738/202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ve 2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6730/2990607;</w:t>
      </w:r>
    </w:p>
    <w:p>
      <w:pPr>
        <w:pStyle w:val="Style2"/>
        <w:keepNext w:val="0"/>
        <w:keepLines w:val="0"/>
        <w:widowControl w:val="0"/>
        <w:shd w:val="clear" w:color="auto" w:fill="auto"/>
        <w:bidi w:val="0"/>
        <w:spacing w:before="0" w:after="0"/>
        <w:ind w:left="400" w:right="0" w:firstLine="2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260" w:line="288" w:lineRule="auto"/>
        <w:ind w:left="400" w:right="0" w:firstLine="2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6730/2990607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2"/>
        <w:keepNext w:val="0"/>
        <w:keepLines w:val="0"/>
        <w:widowControl w:val="0"/>
        <w:shd w:val="clear" w:color="auto" w:fill="auto"/>
        <w:bidi w:val="0"/>
        <w:spacing w:before="0" w:after="300"/>
        <w:ind w:left="400" w:right="0" w:hanging="400"/>
        <w:jc w:val="both"/>
      </w:pPr>
      <w:r>
        <w:rPr>
          <w:color w:val="000000"/>
          <w:spacing w:val="0"/>
          <w:w w:val="100"/>
          <w:position w:val="0"/>
          <w:shd w:val="clear" w:color="auto" w:fill="auto"/>
          <w:lang w:val="cs-CZ" w:eastAsia="cs-CZ" w:bidi="cs-CZ"/>
        </w:rPr>
        <w:t xml:space="preserve">1.3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numPr>
          <w:ilvl w:val="0"/>
          <w:numId w:val="3"/>
        </w:numPr>
        <w:shd w:val="clear" w:color="auto" w:fill="auto"/>
        <w:tabs>
          <w:tab w:pos="322" w:val="left"/>
        </w:tabs>
        <w:bidi w:val="0"/>
        <w:spacing w:before="0" w:after="260" w:line="298"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Garážové stání</w:t>
      </w:r>
    </w:p>
    <w:p>
      <w:pPr>
        <w:pStyle w:val="Style2"/>
        <w:keepNext w:val="0"/>
        <w:keepLines w:val="0"/>
        <w:widowControl w:val="0"/>
        <w:shd w:val="clear" w:color="auto" w:fill="auto"/>
        <w:bidi w:val="0"/>
        <w:spacing w:before="0" w:after="100"/>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jednotky č. 2738/100,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color w:val="000000"/>
          <w:spacing w:val="0"/>
          <w:w w:val="100"/>
          <w:position w:val="0"/>
          <w:sz w:val="19"/>
          <w:szCs w:val="19"/>
          <w:shd w:val="clear" w:color="auto" w:fill="auto"/>
          <w:lang w:val="cs-CZ" w:eastAsia="cs-CZ" w:bidi="cs-CZ"/>
        </w:rPr>
        <w:t>'Garáž 2');</w:t>
      </w:r>
    </w:p>
    <w:p>
      <w:pPr>
        <w:pStyle w:val="Style2"/>
        <w:keepNext w:val="0"/>
        <w:keepLines w:val="0"/>
        <w:widowControl w:val="0"/>
        <w:shd w:val="clear" w:color="auto" w:fill="auto"/>
        <w:bidi w:val="0"/>
        <w:spacing w:before="0" w:after="100"/>
        <w:ind w:left="400" w:right="0" w:hanging="40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w:t>
      </w:r>
    </w:p>
    <w:p>
      <w:pPr>
        <w:pStyle w:val="Style2"/>
        <w:keepNext w:val="0"/>
        <w:keepLines w:val="0"/>
        <w:widowControl w:val="0"/>
        <w:shd w:val="clear" w:color="auto" w:fill="auto"/>
        <w:bidi w:val="0"/>
        <w:spacing w:before="0" w:after="360" w:line="283" w:lineRule="auto"/>
        <w:ind w:left="400" w:right="0" w:firstLine="2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3/68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2, </w:t>
      </w:r>
      <w:r>
        <w:rPr>
          <w:color w:val="000000"/>
          <w:spacing w:val="0"/>
          <w:w w:val="100"/>
          <w:position w:val="0"/>
          <w:shd w:val="clear" w:color="auto" w:fill="auto"/>
          <w:lang w:val="cs-CZ" w:eastAsia="cs-CZ" w:bidi="cs-CZ"/>
        </w:rPr>
        <w:t>se kterým je spojeno právo užívat garážové stání č. B/P-001, B/P-002, B/P-003</w:t>
      </w:r>
    </w:p>
    <w:p>
      <w:pPr>
        <w:pStyle w:val="Style2"/>
        <w:keepNext w:val="0"/>
        <w:keepLines w:val="0"/>
        <w:widowControl w:val="0"/>
        <w:shd w:val="clear" w:color="auto" w:fill="auto"/>
        <w:bidi w:val="0"/>
        <w:spacing w:before="0" w:after="0" w:line="298"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0.</w:t>
      </w:r>
    </w:p>
    <w:p>
      <w:pPr>
        <w:pStyle w:val="Style2"/>
        <w:keepNext w:val="0"/>
        <w:keepLines w:val="0"/>
        <w:widowControl w:val="0"/>
        <w:shd w:val="clear" w:color="auto" w:fill="auto"/>
        <w:bidi w:val="0"/>
        <w:spacing w:before="0" w:after="260" w:line="298"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5"/>
        </w:numPr>
        <w:shd w:val="clear" w:color="auto" w:fill="auto"/>
        <w:tabs>
          <w:tab w:pos="392" w:val="left"/>
        </w:tabs>
        <w:bidi w:val="0"/>
        <w:spacing w:before="0" w:after="680" w:line="286" w:lineRule="auto"/>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1.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w:t>
      </w:r>
      <w:r>
        <w:rPr>
          <w:color w:val="000000"/>
          <w:spacing w:val="0"/>
          <w:w w:val="100"/>
          <w:position w:val="0"/>
          <w:shd w:val="clear" w:color="auto" w:fill="auto"/>
          <w:lang w:val="cs-CZ" w:eastAsia="cs-CZ" w:bidi="cs-CZ"/>
        </w:rPr>
        <w:t xml:space="preserve">výši 3 </w:t>
      </w:r>
      <w:r>
        <w:rPr>
          <w:b/>
          <w:bCs/>
          <w:color w:val="000000"/>
          <w:spacing w:val="0"/>
          <w:w w:val="100"/>
          <w:position w:val="0"/>
          <w:sz w:val="19"/>
          <w:szCs w:val="19"/>
          <w:shd w:val="clear" w:color="auto" w:fill="auto"/>
          <w:lang w:val="cs-CZ" w:eastAsia="cs-CZ" w:bidi="cs-CZ"/>
        </w:rPr>
        <w:t xml:space="preserve">717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5"/>
        </w:numPr>
        <w:shd w:val="clear" w:color="auto" w:fill="auto"/>
        <w:tabs>
          <w:tab w:pos="392" w:val="left"/>
        </w:tabs>
        <w:bidi w:val="0"/>
        <w:spacing w:before="0" w:after="260" w:line="283" w:lineRule="auto"/>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921928,-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392" w:val="left"/>
        </w:tabs>
        <w:bidi w:val="0"/>
        <w:spacing w:before="0" w:after="860"/>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kupujícímu do výlučného vlastnictví </w:t>
      </w:r>
      <w:r>
        <w:rPr>
          <w:b/>
          <w:bCs/>
          <w:color w:val="000000"/>
          <w:spacing w:val="0"/>
          <w:w w:val="100"/>
          <w:position w:val="0"/>
          <w:sz w:val="19"/>
          <w:szCs w:val="19"/>
          <w:shd w:val="clear" w:color="auto" w:fill="auto"/>
          <w:lang w:val="cs-CZ" w:eastAsia="cs-CZ" w:bidi="cs-CZ"/>
        </w:rPr>
        <w:t xml:space="preserve">Předmět převodu </w:t>
      </w:r>
      <w:r>
        <w:rPr>
          <w:b/>
          <w:bCs/>
          <w:i/>
          <w:iCs/>
          <w:color w:val="000000"/>
          <w:spacing w:val="0"/>
          <w:w w:val="100"/>
          <w:position w:val="0"/>
          <w:sz w:val="19"/>
          <w:szCs w:val="19"/>
          <w:shd w:val="clear" w:color="auto" w:fill="auto"/>
          <w:lang w:val="cs-CZ" w:eastAsia="cs-CZ" w:bidi="cs-CZ"/>
        </w:rPr>
        <w:t xml:space="preserve">2, </w:t>
      </w:r>
      <w:r>
        <w:rPr>
          <w:color w:val="000000"/>
          <w:spacing w:val="0"/>
          <w:w w:val="100"/>
          <w:position w:val="0"/>
          <w:shd w:val="clear" w:color="auto" w:fill="auto"/>
          <w:lang w:val="cs-CZ" w:eastAsia="cs-CZ" w:bidi="cs-CZ"/>
        </w:rPr>
        <w:t xml:space="preserve">specifikovaný v čl. I. odst. 1.3 této smlouvy, a to se všemi právy a povinnostmi, součástmi a příslušenstvím, za dohodnutou kupní cenu ve výši </w:t>
      </w:r>
      <w:r>
        <w:rPr>
          <w:b/>
          <w:bCs/>
          <w:color w:val="000000"/>
          <w:spacing w:val="0"/>
          <w:w w:val="100"/>
          <w:position w:val="0"/>
          <w:sz w:val="19"/>
          <w:szCs w:val="19"/>
          <w:shd w:val="clear" w:color="auto" w:fill="auto"/>
          <w:lang w:val="cs-CZ" w:eastAsia="cs-CZ" w:bidi="cs-CZ"/>
        </w:rPr>
        <w:t xml:space="preserve">ve výši 371 928 Kč. </w:t>
      </w:r>
      <w:r>
        <w:rPr>
          <w:color w:val="000000"/>
          <w:spacing w:val="0"/>
          <w:w w:val="100"/>
          <w:position w:val="0"/>
          <w:shd w:val="clear" w:color="auto" w:fill="auto"/>
          <w:lang w:val="cs-CZ" w:eastAsia="cs-CZ" w:bidi="cs-CZ"/>
        </w:rPr>
        <w:t xml:space="preserve">Kupující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do výlučného vlastnictví přijímá a kupuje, a zavazuje se zaplatit prodávajícímu 1, za podmínek níže sjednaných, dohodnutou kupní cenu.</w:t>
      </w:r>
    </w:p>
    <w:p>
      <w:pPr>
        <w:pStyle w:val="Style2"/>
        <w:keepNext w:val="0"/>
        <w:keepLines w:val="0"/>
        <w:widowControl w:val="0"/>
        <w:numPr>
          <w:ilvl w:val="1"/>
          <w:numId w:val="5"/>
        </w:numPr>
        <w:shd w:val="clear" w:color="auto" w:fill="auto"/>
        <w:tabs>
          <w:tab w:pos="399" w:val="left"/>
        </w:tabs>
        <w:bidi w:val="0"/>
        <w:spacing w:before="0" w:after="540"/>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numPr>
          <w:ilvl w:val="1"/>
          <w:numId w:val="7"/>
        </w:numPr>
        <w:shd w:val="clear" w:color="auto" w:fill="auto"/>
        <w:tabs>
          <w:tab w:pos="392" w:val="left"/>
        </w:tabs>
        <w:bidi w:val="0"/>
        <w:spacing w:before="0" w:after="54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7"/>
        </w:numPr>
        <w:shd w:val="clear" w:color="auto" w:fill="auto"/>
        <w:tabs>
          <w:tab w:pos="399" w:val="left"/>
        </w:tabs>
        <w:bidi w:val="0"/>
        <w:spacing w:before="0" w:after="680"/>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7"/>
        </w:numPr>
        <w:shd w:val="clear" w:color="auto" w:fill="auto"/>
        <w:tabs>
          <w:tab w:pos="399" w:val="left"/>
        </w:tabs>
        <w:bidi w:val="0"/>
        <w:spacing w:before="0" w:after="300"/>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7"/>
        </w:numPr>
        <w:shd w:val="clear" w:color="auto" w:fill="auto"/>
        <w:tabs>
          <w:tab w:pos="392" w:val="left"/>
        </w:tabs>
        <w:bidi w:val="0"/>
        <w:spacing w:before="0" w:after="440"/>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7"/>
        </w:numPr>
        <w:shd w:val="clear" w:color="auto" w:fill="auto"/>
        <w:tabs>
          <w:tab w:pos="406" w:val="left"/>
        </w:tabs>
        <w:bidi w:val="0"/>
        <w:spacing w:before="0"/>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7"/>
        </w:numPr>
        <w:shd w:val="clear" w:color="auto" w:fill="auto"/>
        <w:tabs>
          <w:tab w:pos="399" w:val="left"/>
        </w:tabs>
        <w:bidi w:val="0"/>
        <w:spacing w:before="0" w:after="440"/>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7"/>
        </w:numPr>
        <w:shd w:val="clear" w:color="auto" w:fill="auto"/>
        <w:tabs>
          <w:tab w:pos="406" w:val="left"/>
        </w:tabs>
        <w:bidi w:val="0"/>
        <w:spacing w:before="0" w:after="560"/>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9"/>
        </w:numPr>
        <w:shd w:val="clear" w:color="auto" w:fill="auto"/>
        <w:tabs>
          <w:tab w:pos="396" w:val="left"/>
        </w:tabs>
        <w:bidi w:val="0"/>
        <w:spacing w:before="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9"/>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9"/>
        </w:numPr>
        <w:shd w:val="clear" w:color="auto" w:fill="auto"/>
        <w:tabs>
          <w:tab w:pos="392" w:val="left"/>
        </w:tabs>
        <w:bidi w:val="0"/>
        <w:spacing w:before="0" w:after="44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9"/>
        </w:numPr>
        <w:shd w:val="clear" w:color="auto" w:fill="auto"/>
        <w:tabs>
          <w:tab w:pos="410" w:val="left"/>
        </w:tabs>
        <w:bidi w:val="0"/>
        <w:spacing w:before="0" w:after="360"/>
        <w:ind w:left="0" w:right="0" w:firstLine="0"/>
        <w:jc w:val="left"/>
      </w:pPr>
      <w:r>
        <w:rPr>
          <w:color w:val="000000"/>
          <w:spacing w:val="0"/>
          <w:w w:val="100"/>
          <w:position w:val="0"/>
          <w:shd w:val="clear" w:color="auto" w:fill="auto"/>
          <w:lang w:val="cs-CZ" w:eastAsia="cs-CZ" w:bidi="cs-CZ"/>
        </w:rP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11"/>
        </w:numPr>
        <w:shd w:val="clear" w:color="auto" w:fill="auto"/>
        <w:tabs>
          <w:tab w:pos="385" w:val="left"/>
        </w:tabs>
        <w:bidi w:val="0"/>
        <w:spacing w:before="0"/>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11"/>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11"/>
        </w:numPr>
        <w:shd w:val="clear" w:color="auto" w:fill="auto"/>
        <w:tabs>
          <w:tab w:pos="392" w:val="left"/>
        </w:tabs>
        <w:bidi w:val="0"/>
        <w:spacing w:before="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11"/>
        </w:numPr>
        <w:shd w:val="clear" w:color="auto" w:fill="auto"/>
        <w:tabs>
          <w:tab w:pos="406" w:val="left"/>
        </w:tabs>
        <w:bidi w:val="0"/>
        <w:spacing w:before="0" w:after="42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VIL</w:t>
      </w:r>
    </w:p>
    <w:p>
      <w:pPr>
        <w:pStyle w:val="Style2"/>
        <w:keepNext w:val="0"/>
        <w:keepLines w:val="0"/>
        <w:widowControl w:val="0"/>
        <w:shd w:val="clear" w:color="auto" w:fill="auto"/>
        <w:bidi w:val="0"/>
        <w:spacing w:before="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1"/>
          <w:numId w:val="13"/>
        </w:numPr>
        <w:shd w:val="clear" w:color="auto" w:fill="auto"/>
        <w:tabs>
          <w:tab w:pos="392" w:val="left"/>
        </w:tabs>
        <w:bidi w:val="0"/>
        <w:spacing w:before="0" w:line="283"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3"/>
        </w:numPr>
        <w:shd w:val="clear" w:color="auto" w:fill="auto"/>
        <w:tabs>
          <w:tab w:pos="392" w:val="left"/>
        </w:tabs>
        <w:bidi w:val="0"/>
        <w:spacing w:before="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3"/>
        </w:numPr>
        <w:shd w:val="clear" w:color="auto" w:fill="auto"/>
        <w:tabs>
          <w:tab w:pos="399" w:val="left"/>
        </w:tabs>
        <w:bidi w:val="0"/>
        <w:spacing w:before="0" w:after="420"/>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3"/>
        </w:numPr>
        <w:shd w:val="clear" w:color="auto" w:fill="auto"/>
        <w:tabs>
          <w:tab w:pos="406" w:val="left"/>
        </w:tabs>
        <w:bidi w:val="0"/>
        <w:spacing w:before="0"/>
        <w:ind w:left="0" w:right="0" w:firstLine="0"/>
        <w:jc w:val="left"/>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3"/>
        </w:numPr>
        <w:shd w:val="clear" w:color="auto" w:fill="auto"/>
        <w:tabs>
          <w:tab w:pos="448" w:val="left"/>
        </w:tabs>
        <w:bidi w:val="0"/>
        <w:spacing w:before="0" w:after="260" w:line="283" w:lineRule="auto"/>
        <w:ind w:left="0" w:right="0" w:firstLine="0"/>
        <w:jc w:val="both"/>
      </w:pPr>
      <w:r>
        <w:rPr>
          <w:color w:val="000000"/>
          <w:spacing w:val="0"/>
          <w:w w:val="100"/>
          <w:position w:val="0"/>
          <w:shd w:val="clear" w:color="auto" w:fill="auto"/>
          <w:lang w:val="cs-CZ" w:eastAsia="cs-CZ" w:bidi="cs-CZ"/>
        </w:rPr>
        <w:t>Smluvní strany shodně prohlašují, že si tuto smlouvu před jejím podpisem přečetly, žejsyla uzavřena po vzájemném projednání, podle jejich pravé a svobodné vůle, určitě, vážně a srozumitélhě, nikoliv v tísni či za nápadně nevýhodných podmínek, na důkaz čehož připojují své vl^tnc/fuchí podpisy.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 usnesením ZmP č. Z/1425/2024 ze dne 24.06.2024</w:t>
      </w:r>
    </w:p>
    <w:p>
      <w:pPr>
        <w:pStyle w:val="Style2"/>
        <w:keepNext w:val="0"/>
        <w:keepLines w:val="0"/>
        <w:widowControl w:val="0"/>
        <w:shd w:val="clear" w:color="auto" w:fill="auto"/>
        <w:bidi w:val="0"/>
        <w:spacing w:before="0" w:after="1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 Pardubic: vyvěšeno dne: 02.05.2024 svěšeno dne: 18.05.2024</w:t>
      </w:r>
    </w:p>
    <w:p>
      <w:pPr>
        <w:pStyle w:val="Style14"/>
        <w:keepNext/>
        <w:keepLines/>
        <w:widowControl w:val="0"/>
        <w:shd w:val="clear" w:color="auto" w:fill="auto"/>
        <w:bidi w:val="0"/>
        <w:spacing w:before="0" w:after="0" w:line="240" w:lineRule="auto"/>
        <w:ind w:left="0" w:right="0" w:firstLine="0"/>
        <w:jc w:val="left"/>
        <w:rPr>
          <w:sz w:val="26"/>
          <w:szCs w:val="26"/>
        </w:rPr>
      </w:pPr>
      <w:bookmarkStart w:id="2" w:name="bookmark2"/>
      <w:r>
        <w:rPr>
          <w:rFonts w:ascii="Arial" w:eastAsia="Arial" w:hAnsi="Arial" w:cs="Arial"/>
          <w:color w:val="000000"/>
          <w:spacing w:val="0"/>
          <w:w w:val="100"/>
          <w:position w:val="0"/>
          <w:sz w:val="26"/>
          <w:szCs w:val="26"/>
          <w:shd w:val="clear" w:color="auto" w:fill="auto"/>
          <w:vertAlign w:val="subscript"/>
          <w:lang w:val="cs-CZ" w:eastAsia="cs-CZ" w:bidi="cs-CZ"/>
        </w:rPr>
        <w:t>v</w:t>
      </w:r>
      <w:r>
        <w:rPr>
          <w:rFonts w:ascii="Arial" w:eastAsia="Arial" w:hAnsi="Arial" w:cs="Arial"/>
          <w:color w:val="000000"/>
          <w:spacing w:val="0"/>
          <w:w w:val="100"/>
          <w:position w:val="0"/>
          <w:sz w:val="26"/>
          <w:szCs w:val="26"/>
          <w:shd w:val="clear" w:color="auto" w:fill="auto"/>
          <w:lang w:val="cs-CZ" w:eastAsia="cs-CZ" w:bidi="cs-CZ"/>
        </w:rPr>
        <w:t>_ . ..,. . '15 - 01- 2025</w:t>
      </w:r>
      <w:bookmarkEnd w:id="2"/>
    </w:p>
    <w:p>
      <w:pPr>
        <w:pStyle w:val="Style2"/>
        <w:keepNext w:val="0"/>
        <w:keepLines w:val="0"/>
        <w:widowControl w:val="0"/>
        <w:shd w:val="clear" w:color="auto" w:fill="auto"/>
        <w:tabs>
          <w:tab w:leader="dot" w:pos="3028" w:val="left"/>
        </w:tabs>
        <w:bidi w:val="0"/>
        <w:spacing w:before="0" w:after="340" w:line="180" w:lineRule="auto"/>
        <w:ind w:left="0" w:right="0" w:firstLine="0"/>
        <w:jc w:val="left"/>
      </w:pPr>
      <w:r>
        <w:rPr>
          <w:color w:val="000000"/>
          <w:spacing w:val="0"/>
          <w:w w:val="100"/>
          <w:position w:val="0"/>
          <w:shd w:val="clear" w:color="auto" w:fill="auto"/>
          <w:lang w:val="cs-CZ" w:eastAsia="cs-CZ" w:bidi="cs-CZ"/>
        </w:rPr>
        <w:t>V Pardubicích, dne</w:t>
        <w:tab/>
      </w:r>
    </w:p>
    <w:p>
      <w:pPr>
        <w:pStyle w:val="Style2"/>
        <w:keepNext w:val="0"/>
        <w:keepLines w:val="0"/>
        <w:widowControl w:val="0"/>
        <w:shd w:val="clear" w:color="auto" w:fill="auto"/>
        <w:bidi w:val="0"/>
        <w:spacing w:before="0" w:after="88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3990975</wp:posOffset>
                </wp:positionH>
                <wp:positionV relativeFrom="paragraph">
                  <wp:posOffset>12700</wp:posOffset>
                </wp:positionV>
                <wp:extent cx="537210" cy="164465"/>
                <wp:wrapSquare wrapText="left"/>
                <wp:docPr id="1" name="Shape 1"/>
                <a:graphic xmlns:a="http://schemas.openxmlformats.org/drawingml/2006/main">
                  <a:graphicData uri="http://schemas.microsoft.com/office/word/2010/wordprocessingShape">
                    <wps:wsp>
                      <wps:cNvSpPr txBox="1"/>
                      <wps:spPr>
                        <a:xfrm>
                          <a:ext cx="537210" cy="1644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4.25pt;margin-top:1.pt;width:42.300000000000004pt;height:12.9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POSEIDON</w:t>
      </w:r>
    </w:p>
    <w:p>
      <w:pPr>
        <w:pStyle w:val="Style17"/>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Podpisový vzorZrodávajicihoiejjložen na Katastru</w:t>
      </w:r>
    </w:p>
    <w:p>
      <w:pPr>
        <w:pStyle w:val="Style2"/>
        <w:keepNext w:val="0"/>
        <w:keepLines w:val="0"/>
        <w:widowControl w:val="0"/>
        <w:shd w:val="clear" w:color="auto" w:fill="auto"/>
        <w:bidi w:val="0"/>
        <w:spacing w:before="0" w:after="8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Prodávající/2t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městó Pardubice</w:t>
      </w:r>
    </w:p>
    <w:p>
      <w:pPr>
        <w:pStyle w:val="Style17"/>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715" w:right="1214" w:bottom="1949" w:left="1485"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3843655</wp:posOffset>
              </wp:positionH>
              <wp:positionV relativeFrom="page">
                <wp:posOffset>10196195</wp:posOffset>
              </wp:positionV>
              <wp:extent cx="54610" cy="91440"/>
              <wp:wrapNone/>
              <wp:docPr id="3" name="Shape 3"/>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302.65000000000003pt;margin-top:802.85000000000002pt;width:4.2999999999999998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3843655</wp:posOffset>
              </wp:positionH>
              <wp:positionV relativeFrom="page">
                <wp:posOffset>9972675</wp:posOffset>
              </wp:positionV>
              <wp:extent cx="54610" cy="86995"/>
              <wp:wrapNone/>
              <wp:docPr id="7" name="Shape 7"/>
              <a:graphic xmlns:a="http://schemas.openxmlformats.org/drawingml/2006/main">
                <a:graphicData uri="http://schemas.microsoft.com/office/word/2010/wordprocessingShape">
                  <wps:wsp>
                    <wps:cNvSpPr txBox="1"/>
                    <wps:spPr>
                      <a:xfrm>
                        <a:ext cx="54610" cy="869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2.65000000000003pt;margin-top:785.25pt;width:4.2999999999999998pt;height:6.850000000000000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960755</wp:posOffset>
              </wp:positionH>
              <wp:positionV relativeFrom="page">
                <wp:posOffset>535940</wp:posOffset>
              </wp:positionV>
              <wp:extent cx="5513705" cy="109855"/>
              <wp:wrapNone/>
              <wp:docPr id="5" name="Shape 5"/>
              <a:graphic xmlns:a="http://schemas.openxmlformats.org/drawingml/2006/main">
                <a:graphicData uri="http://schemas.microsoft.com/office/word/2010/wordprocessingShape">
                  <wps:wsp>
                    <wps:cNvSpPr txBox="1"/>
                    <wps:spPr>
                      <a:xfrm>
                        <a:ext cx="5513705" cy="109855"/>
                      </a:xfrm>
                      <a:prstGeom prst="rect"/>
                      <a:noFill/>
                    </wps:spPr>
                    <wps:txbx>
                      <w:txbxContent>
                        <w:p>
                          <w:pPr>
                            <w:pStyle w:val="Style7"/>
                            <w:keepNext w:val="0"/>
                            <w:keepLines w:val="0"/>
                            <w:widowControl w:val="0"/>
                            <w:shd w:val="clear" w:color="auto" w:fill="auto"/>
                            <w:tabs>
                              <w:tab w:pos="868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Ev.č, 304</w:t>
                            <w:tab/>
                            <w:t>Čsml. K 2024-2738-202</w:t>
                          </w:r>
                        </w:p>
                      </w:txbxContent>
                    </wps:txbx>
                    <wps:bodyPr lIns="0" tIns="0" rIns="0" bIns="0">
                      <a:spAutoFit/>
                    </wps:bodyPr>
                  </wps:wsp>
                </a:graphicData>
              </a:graphic>
            </wp:anchor>
          </w:drawing>
        </mc:Choice>
        <mc:Fallback>
          <w:pict>
            <v:shape id="_x0000_s1031" type="#_x0000_t202" style="position:absolute;margin-left:75.650000000000006pt;margin-top:42.200000000000003pt;width:434.15000000000003pt;height:8.6500000000000004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683" w:val="righ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Ev.č, 304</w:t>
                      <w:tab/>
                      <w:t>Čsml. K 2024-2738-202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Letter"/>
      <w:lvlText w:val="%1."/>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
  </w:abstractNum>
  <w:abstractNum w:abstractNumId="4">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5">
    <w:name w:val="Nadpis #1_"/>
    <w:basedOn w:val="DefaultParagraphFont"/>
    <w:link w:val="Style4"/>
    <w:rPr>
      <w:rFonts w:ascii="Calibri" w:eastAsia="Calibri" w:hAnsi="Calibri" w:cs="Calibri"/>
      <w:b w:val="0"/>
      <w:bCs w:val="0"/>
      <w:i w:val="0"/>
      <w:iCs w:val="0"/>
      <w:smallCaps w:val="0"/>
      <w:strike w:val="0"/>
      <w:sz w:val="32"/>
      <w:szCs w:val="32"/>
      <w:u w:val="none"/>
    </w:rPr>
  </w:style>
  <w:style w:type="character" w:customStyle="1" w:styleId="CharStyle8">
    <w:name w:val="Záhlaví nebo zápatí_"/>
    <w:basedOn w:val="DefaultParagraphFont"/>
    <w:link w:val="Style7"/>
    <w:rPr>
      <w:rFonts w:ascii="Cambria" w:eastAsia="Cambria" w:hAnsi="Cambria" w:cs="Cambria"/>
      <w:b w:val="0"/>
      <w:bCs w:val="0"/>
      <w:i w:val="0"/>
      <w:iCs w:val="0"/>
      <w:smallCaps w:val="0"/>
      <w:strike w:val="0"/>
      <w:sz w:val="20"/>
      <w:szCs w:val="20"/>
      <w:u w:val="none"/>
    </w:rPr>
  </w:style>
  <w:style w:type="character" w:customStyle="1" w:styleId="CharStyle15">
    <w:name w:val="Nadpis #2_"/>
    <w:basedOn w:val="DefaultParagraphFont"/>
    <w:link w:val="Style14"/>
    <w:rPr>
      <w:rFonts w:ascii="Times New Roman" w:eastAsia="Times New Roman" w:hAnsi="Times New Roman" w:cs="Times New Roman"/>
      <w:b w:val="0"/>
      <w:bCs w:val="0"/>
      <w:i w:val="0"/>
      <w:iCs w:val="0"/>
      <w:smallCaps w:val="0"/>
      <w:strike w:val="0"/>
      <w:w w:val="80"/>
      <w:sz w:val="28"/>
      <w:szCs w:val="28"/>
      <w:u w:val="none"/>
    </w:rPr>
  </w:style>
  <w:style w:type="character" w:customStyle="1" w:styleId="CharStyle18">
    <w:name w:val="Základní text (4)_"/>
    <w:basedOn w:val="DefaultParagraphFont"/>
    <w:link w:val="Style17"/>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280" w:line="276" w:lineRule="auto"/>
    </w:pPr>
    <w:rPr>
      <w:rFonts w:ascii="Cambria" w:eastAsia="Cambria" w:hAnsi="Cambria" w:cs="Cambria"/>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auto"/>
      <w:outlineLvl w:val="0"/>
    </w:pPr>
    <w:rPr>
      <w:rFonts w:ascii="Calibri" w:eastAsia="Calibri" w:hAnsi="Calibri" w:cs="Calibri"/>
      <w:b w:val="0"/>
      <w:bCs w:val="0"/>
      <w:i w:val="0"/>
      <w:iCs w:val="0"/>
      <w:smallCaps w:val="0"/>
      <w:strike w:val="0"/>
      <w:sz w:val="32"/>
      <w:szCs w:val="32"/>
      <w:u w:val="none"/>
    </w:rPr>
  </w:style>
  <w:style w:type="paragraph" w:customStyle="1" w:styleId="Style7">
    <w:name w:val="Záhlaví nebo zápatí"/>
    <w:basedOn w:val="Normal"/>
    <w:link w:val="CharStyle8"/>
    <w:pPr>
      <w:widowControl w:val="0"/>
      <w:shd w:val="clear" w:color="auto" w:fill="auto"/>
    </w:pPr>
    <w:rPr>
      <w:rFonts w:ascii="Cambria" w:eastAsia="Cambria" w:hAnsi="Cambria" w:cs="Cambria"/>
      <w:b w:val="0"/>
      <w:bCs w:val="0"/>
      <w:i w:val="0"/>
      <w:iCs w:val="0"/>
      <w:smallCaps w:val="0"/>
      <w:strike w:val="0"/>
      <w:sz w:val="20"/>
      <w:szCs w:val="20"/>
      <w:u w:val="none"/>
    </w:rPr>
  </w:style>
  <w:style w:type="paragraph" w:customStyle="1" w:styleId="Style14">
    <w:name w:val="Nadpis #2"/>
    <w:basedOn w:val="Normal"/>
    <w:link w:val="CharStyle15"/>
    <w:pPr>
      <w:widowControl w:val="0"/>
      <w:shd w:val="clear" w:color="auto" w:fill="auto"/>
      <w:spacing w:after="80" w:line="360" w:lineRule="auto"/>
      <w:ind w:left="1260"/>
      <w:outlineLvl w:val="1"/>
    </w:pPr>
    <w:rPr>
      <w:rFonts w:ascii="Times New Roman" w:eastAsia="Times New Roman" w:hAnsi="Times New Roman" w:cs="Times New Roman"/>
      <w:b w:val="0"/>
      <w:bCs w:val="0"/>
      <w:i w:val="0"/>
      <w:iCs w:val="0"/>
      <w:smallCaps w:val="0"/>
      <w:strike w:val="0"/>
      <w:w w:val="80"/>
      <w:sz w:val="28"/>
      <w:szCs w:val="28"/>
      <w:u w:val="none"/>
    </w:rPr>
  </w:style>
  <w:style w:type="paragraph" w:customStyle="1" w:styleId="Style17">
    <w:name w:val="Základní text (4)"/>
    <w:basedOn w:val="Normal"/>
    <w:link w:val="CharStyle18"/>
    <w:pPr>
      <w:widowControl w:val="0"/>
      <w:shd w:val="clear" w:color="auto" w:fill="auto"/>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