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BA1E" w14:textId="77777777" w:rsidR="00C778C4" w:rsidRDefault="00C778C4" w:rsidP="00C778C4">
      <w:pPr>
        <w:spacing w:line="240" w:lineRule="auto"/>
        <w:contextualSpacing/>
        <w:jc w:val="center"/>
        <w:rPr>
          <w:b/>
          <w:bCs/>
        </w:rPr>
      </w:pPr>
      <w:r w:rsidRPr="00C778C4">
        <w:rPr>
          <w:b/>
          <w:bCs/>
        </w:rPr>
        <w:t>KONZULTAČNÍ SMLOUVA</w:t>
      </w:r>
    </w:p>
    <w:p w14:paraId="12EFB597" w14:textId="6F6F9AC6" w:rsidR="002844F2" w:rsidRDefault="002844F2" w:rsidP="00C778C4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uzavřená dle § 1746, odst. 2. Občanského zákoníku</w:t>
      </w:r>
    </w:p>
    <w:p w14:paraId="5A35289A" w14:textId="77777777" w:rsidR="00BB0FA4" w:rsidRPr="00C778C4" w:rsidRDefault="00BB0FA4" w:rsidP="00C778C4">
      <w:pPr>
        <w:spacing w:line="240" w:lineRule="auto"/>
        <w:contextualSpacing/>
        <w:jc w:val="center"/>
        <w:rPr>
          <w:b/>
          <w:bCs/>
        </w:rPr>
      </w:pPr>
    </w:p>
    <w:p w14:paraId="0B21F11C" w14:textId="77777777" w:rsidR="00C778C4" w:rsidRDefault="00C778C4" w:rsidP="00C778C4">
      <w:pPr>
        <w:spacing w:line="240" w:lineRule="auto"/>
        <w:contextualSpacing/>
      </w:pPr>
    </w:p>
    <w:p w14:paraId="302B7B57" w14:textId="77777777" w:rsidR="00C778C4" w:rsidRDefault="00C778C4" w:rsidP="00C778C4">
      <w:pPr>
        <w:spacing w:line="240" w:lineRule="auto"/>
        <w:contextualSpacing/>
      </w:pPr>
      <w:r>
        <w:t>Tato konzultační smlouva (dále jen „Smlouva“) byla uzavřena mezi následujícími smluvními stranami:</w:t>
      </w:r>
    </w:p>
    <w:p w14:paraId="3AAF8365" w14:textId="77777777" w:rsidR="00BB0FA4" w:rsidRDefault="00BB0FA4" w:rsidP="00C778C4">
      <w:pPr>
        <w:spacing w:line="240" w:lineRule="auto"/>
        <w:contextualSpacing/>
      </w:pPr>
    </w:p>
    <w:p w14:paraId="0F278CFA" w14:textId="77777777" w:rsidR="00C778C4" w:rsidRDefault="00C778C4" w:rsidP="00C778C4">
      <w:pPr>
        <w:spacing w:line="240" w:lineRule="auto"/>
        <w:contextualSpacing/>
      </w:pPr>
    </w:p>
    <w:p w14:paraId="7E30BE50" w14:textId="77777777" w:rsidR="00597826" w:rsidRDefault="00597826" w:rsidP="00597826">
      <w:pPr>
        <w:spacing w:line="240" w:lineRule="auto"/>
        <w:contextualSpacing/>
      </w:pPr>
      <w:r>
        <w:t xml:space="preserve">Vysoká škola chemicko-technologická v Praze </w:t>
      </w:r>
    </w:p>
    <w:p w14:paraId="2F01FFAB" w14:textId="77777777" w:rsidR="00597826" w:rsidRDefault="00597826" w:rsidP="00597826">
      <w:pPr>
        <w:spacing w:line="240" w:lineRule="auto"/>
        <w:contextualSpacing/>
      </w:pPr>
      <w:r>
        <w:t>Veřejná vysoká škola dle zák. č. 111/1998 Sb., o vysokých školách</w:t>
      </w:r>
    </w:p>
    <w:p w14:paraId="7ABA1FA7" w14:textId="77777777" w:rsidR="00597826" w:rsidRDefault="00597826" w:rsidP="00597826">
      <w:pPr>
        <w:spacing w:line="240" w:lineRule="auto"/>
        <w:contextualSpacing/>
      </w:pPr>
      <w:r>
        <w:t>se sídlem:</w:t>
      </w:r>
      <w:r>
        <w:tab/>
        <w:t>Technická 5, 166 28 Praha 6,</w:t>
      </w:r>
    </w:p>
    <w:p w14:paraId="515D5662" w14:textId="77777777" w:rsidR="00597826" w:rsidRDefault="00597826" w:rsidP="00597826">
      <w:pPr>
        <w:spacing w:line="240" w:lineRule="auto"/>
        <w:contextualSpacing/>
      </w:pPr>
      <w:r>
        <w:t xml:space="preserve">IČO: </w:t>
      </w:r>
      <w:r>
        <w:tab/>
      </w:r>
      <w:r>
        <w:tab/>
        <w:t>60461373</w:t>
      </w:r>
    </w:p>
    <w:p w14:paraId="04C7CC3D" w14:textId="2B11532C" w:rsidR="00597826" w:rsidRDefault="00597826" w:rsidP="00597826">
      <w:pPr>
        <w:spacing w:line="240" w:lineRule="auto"/>
        <w:contextualSpacing/>
      </w:pPr>
      <w:r>
        <w:t xml:space="preserve">zastoupená: </w:t>
      </w:r>
      <w:r>
        <w:tab/>
      </w:r>
      <w:proofErr w:type="spellStart"/>
      <w:r w:rsidR="000739B4">
        <w:t>xxxxx</w:t>
      </w:r>
      <w:proofErr w:type="spellEnd"/>
      <w:r>
        <w:t>, rektorem</w:t>
      </w:r>
    </w:p>
    <w:p w14:paraId="4AE00C3E" w14:textId="476DFC75" w:rsidR="00C778C4" w:rsidRDefault="00C778C4" w:rsidP="00597826">
      <w:pPr>
        <w:spacing w:line="240" w:lineRule="auto"/>
        <w:contextualSpacing/>
      </w:pPr>
      <w:r>
        <w:t>(dále jen „Klient“)</w:t>
      </w:r>
    </w:p>
    <w:p w14:paraId="65345F92" w14:textId="77777777" w:rsidR="00C778C4" w:rsidRDefault="00C778C4" w:rsidP="00C778C4">
      <w:pPr>
        <w:spacing w:line="240" w:lineRule="auto"/>
        <w:contextualSpacing/>
      </w:pPr>
    </w:p>
    <w:p w14:paraId="2D9B3504" w14:textId="7A480FC3" w:rsidR="00F51111" w:rsidRDefault="00F51111" w:rsidP="00C778C4">
      <w:pPr>
        <w:spacing w:line="240" w:lineRule="auto"/>
        <w:contextualSpacing/>
      </w:pPr>
      <w:r>
        <w:t xml:space="preserve">a </w:t>
      </w:r>
    </w:p>
    <w:p w14:paraId="39919351" w14:textId="77777777" w:rsidR="00F51111" w:rsidRDefault="00F51111" w:rsidP="00C778C4">
      <w:pPr>
        <w:spacing w:line="240" w:lineRule="auto"/>
        <w:contextualSpacing/>
      </w:pPr>
    </w:p>
    <w:p w14:paraId="6300F04C" w14:textId="77777777" w:rsidR="00C778C4" w:rsidRDefault="00C778C4" w:rsidP="00C778C4">
      <w:pPr>
        <w:spacing w:line="240" w:lineRule="auto"/>
        <w:contextualSpacing/>
      </w:pPr>
      <w:r>
        <w:t>Ing. Theodor Petřík, CSc.</w:t>
      </w:r>
    </w:p>
    <w:p w14:paraId="360F9097" w14:textId="52B08065" w:rsidR="00C778C4" w:rsidRDefault="00C778C4" w:rsidP="00C778C4">
      <w:pPr>
        <w:spacing w:line="240" w:lineRule="auto"/>
        <w:contextualSpacing/>
      </w:pPr>
      <w:r>
        <w:t>IČ: 19265379</w:t>
      </w:r>
    </w:p>
    <w:p w14:paraId="0E2AC9CC" w14:textId="171B19E9" w:rsidR="00C778C4" w:rsidRDefault="002844F2" w:rsidP="00C778C4">
      <w:pPr>
        <w:spacing w:line="240" w:lineRule="auto"/>
        <w:contextualSpacing/>
      </w:pPr>
      <w:r>
        <w:t>se sídlem</w:t>
      </w:r>
      <w:r w:rsidR="00C778C4">
        <w:t xml:space="preserve"> Amurská 5, 100 00 Praha 10</w:t>
      </w:r>
    </w:p>
    <w:p w14:paraId="3B23EDD0" w14:textId="4ABB6A74" w:rsidR="002844F2" w:rsidRDefault="002844F2" w:rsidP="00C778C4">
      <w:pPr>
        <w:spacing w:line="240" w:lineRule="auto"/>
        <w:contextualSpacing/>
      </w:pPr>
      <w:r>
        <w:t>neplátce DPH</w:t>
      </w:r>
    </w:p>
    <w:p w14:paraId="1A8C61E4" w14:textId="77777777" w:rsidR="00C778C4" w:rsidRDefault="00C778C4" w:rsidP="00C778C4">
      <w:pPr>
        <w:spacing w:line="240" w:lineRule="auto"/>
        <w:contextualSpacing/>
      </w:pPr>
      <w:r>
        <w:t xml:space="preserve"> (dále jen „Konzultant“)</w:t>
      </w:r>
    </w:p>
    <w:p w14:paraId="169425F2" w14:textId="77777777" w:rsidR="00C778C4" w:rsidRDefault="00C778C4" w:rsidP="00C778C4">
      <w:pPr>
        <w:spacing w:line="240" w:lineRule="auto"/>
        <w:contextualSpacing/>
      </w:pPr>
    </w:p>
    <w:p w14:paraId="4C807EA5" w14:textId="4C077907" w:rsidR="00C778C4" w:rsidRDefault="00C778C4" w:rsidP="000739B4">
      <w:pPr>
        <w:spacing w:line="240" w:lineRule="auto"/>
        <w:contextualSpacing/>
        <w:jc w:val="both"/>
      </w:pPr>
      <w:r>
        <w:t xml:space="preserve">(Klient a Konzultant jsou v této smlouvě společně nazýváni též jako „Smluvní strany“ a kterákoliv </w:t>
      </w:r>
      <w:r w:rsidR="00FC3D64">
        <w:br/>
      </w:r>
      <w:r>
        <w:t>z nich samostatně jako „Smluvní strana“)</w:t>
      </w:r>
    </w:p>
    <w:p w14:paraId="78874F96" w14:textId="77777777" w:rsidR="00C778C4" w:rsidRDefault="00C778C4" w:rsidP="000739B4">
      <w:pPr>
        <w:spacing w:line="240" w:lineRule="auto"/>
        <w:contextualSpacing/>
        <w:jc w:val="both"/>
      </w:pPr>
    </w:p>
    <w:p w14:paraId="679B8CD8" w14:textId="77777777" w:rsidR="00BB0FA4" w:rsidRDefault="00BB0FA4" w:rsidP="00597826">
      <w:pPr>
        <w:spacing w:line="240" w:lineRule="auto"/>
        <w:contextualSpacing/>
        <w:jc w:val="center"/>
        <w:rPr>
          <w:b/>
          <w:bCs/>
        </w:rPr>
      </w:pPr>
    </w:p>
    <w:p w14:paraId="7A0530EA" w14:textId="6B84FAEF" w:rsidR="00C778C4" w:rsidRPr="00C778C4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Článek 1</w:t>
      </w:r>
      <w:r>
        <w:rPr>
          <w:b/>
          <w:bCs/>
        </w:rPr>
        <w:br/>
      </w:r>
      <w:r w:rsidR="00C778C4" w:rsidRPr="00C778C4">
        <w:rPr>
          <w:b/>
          <w:bCs/>
        </w:rPr>
        <w:t>Rozsah smlouvy</w:t>
      </w:r>
    </w:p>
    <w:p w14:paraId="343271ED" w14:textId="27918EC6" w:rsidR="00C778C4" w:rsidRDefault="00C778C4" w:rsidP="00F51111">
      <w:pPr>
        <w:spacing w:line="240" w:lineRule="auto"/>
        <w:contextualSpacing/>
        <w:jc w:val="both"/>
      </w:pPr>
      <w:r>
        <w:t>a) Konzultant se touto Smlouvou zavazuje poskytovat Klientovi služby uvedené v článku 2 této Smlouvy a Klient se zavazuje Konzultantovi platit za poskytování těchto služeb odměnu</w:t>
      </w:r>
      <w:r w:rsidR="002844F2">
        <w:t>,</w:t>
      </w:r>
      <w:r>
        <w:t xml:space="preserve"> dle článku </w:t>
      </w:r>
      <w:r w:rsidR="00FC3D64">
        <w:br/>
      </w:r>
      <w:r>
        <w:t xml:space="preserve">4 této Smlouvy. </w:t>
      </w:r>
    </w:p>
    <w:p w14:paraId="3DAEAA2D" w14:textId="77777777" w:rsidR="00C4353F" w:rsidRDefault="00C4353F" w:rsidP="00C778C4">
      <w:pPr>
        <w:spacing w:line="240" w:lineRule="auto"/>
        <w:contextualSpacing/>
      </w:pPr>
    </w:p>
    <w:p w14:paraId="35CF4489" w14:textId="77777777" w:rsidR="00BB0FA4" w:rsidRDefault="00BB0FA4" w:rsidP="00597826">
      <w:pPr>
        <w:spacing w:line="240" w:lineRule="auto"/>
        <w:contextualSpacing/>
        <w:jc w:val="center"/>
        <w:rPr>
          <w:b/>
          <w:bCs/>
        </w:rPr>
      </w:pPr>
    </w:p>
    <w:p w14:paraId="30115C73" w14:textId="01264FC7" w:rsidR="00C778C4" w:rsidRPr="00C778C4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C778C4" w:rsidRPr="00C778C4">
        <w:rPr>
          <w:b/>
          <w:bCs/>
        </w:rPr>
        <w:t>2</w:t>
      </w:r>
      <w:r>
        <w:rPr>
          <w:b/>
          <w:bCs/>
        </w:rPr>
        <w:br/>
      </w:r>
      <w:r w:rsidR="00C778C4" w:rsidRPr="00C778C4">
        <w:rPr>
          <w:b/>
          <w:bCs/>
        </w:rPr>
        <w:t>Služby</w:t>
      </w:r>
    </w:p>
    <w:p w14:paraId="2514722F" w14:textId="3B09856A" w:rsidR="00C778C4" w:rsidRDefault="00C778C4" w:rsidP="00F51111">
      <w:pPr>
        <w:spacing w:line="240" w:lineRule="auto"/>
        <w:contextualSpacing/>
        <w:jc w:val="both"/>
      </w:pPr>
      <w:r>
        <w:t>a) Smluvní strany se dohodly, že Konzultant bude poskytovat Klientovi následující služby:</w:t>
      </w:r>
    </w:p>
    <w:p w14:paraId="35A2258D" w14:textId="13E5975B" w:rsidR="00C778C4" w:rsidRDefault="00C778C4" w:rsidP="00F51111">
      <w:pPr>
        <w:spacing w:line="240" w:lineRule="auto"/>
        <w:contextualSpacing/>
        <w:jc w:val="both"/>
      </w:pPr>
      <w:r w:rsidRPr="00C778C4">
        <w:rPr>
          <w:i/>
          <w:iCs/>
        </w:rPr>
        <w:t xml:space="preserve">„konzultační činnost při </w:t>
      </w:r>
      <w:r w:rsidR="00F650CB">
        <w:rPr>
          <w:i/>
          <w:iCs/>
        </w:rPr>
        <w:t>administraci</w:t>
      </w:r>
      <w:r w:rsidRPr="00C778C4">
        <w:rPr>
          <w:i/>
          <w:iCs/>
        </w:rPr>
        <w:t xml:space="preserve"> a činnosti Průmyslové rady VŠCHT Praha.“</w:t>
      </w:r>
      <w:r>
        <w:rPr>
          <w:i/>
          <w:iCs/>
        </w:rPr>
        <w:t xml:space="preserve"> </w:t>
      </w:r>
      <w:r>
        <w:t>(dále jen „Služby“).</w:t>
      </w:r>
    </w:p>
    <w:p w14:paraId="44B89144" w14:textId="77777777" w:rsidR="00C778C4" w:rsidRDefault="00C778C4" w:rsidP="00F51111">
      <w:pPr>
        <w:spacing w:line="240" w:lineRule="auto"/>
        <w:contextualSpacing/>
        <w:jc w:val="both"/>
      </w:pPr>
    </w:p>
    <w:p w14:paraId="1182E4F8" w14:textId="6980D8B8" w:rsidR="00C778C4" w:rsidRDefault="00C778C4" w:rsidP="00F51111">
      <w:pPr>
        <w:spacing w:line="240" w:lineRule="auto"/>
        <w:contextualSpacing/>
        <w:jc w:val="both"/>
      </w:pPr>
      <w:r w:rsidRPr="0080221D">
        <w:t>Konzultant se zavazuje poskytovat Služby na základě objednávek Klienta učiněných emailem nebo telefonicky, a to v</w:t>
      </w:r>
      <w:r w:rsidR="00E2321F" w:rsidRPr="0080221D">
        <w:t> </w:t>
      </w:r>
      <w:r w:rsidRPr="0080221D">
        <w:t>míře</w:t>
      </w:r>
      <w:r w:rsidR="00E2321F" w:rsidRPr="0080221D">
        <w:t xml:space="preserve"> minimálně </w:t>
      </w:r>
      <w:r w:rsidR="00524946" w:rsidRPr="0080221D">
        <w:t>15</w:t>
      </w:r>
      <w:r w:rsidR="00E2321F" w:rsidRPr="0080221D">
        <w:t xml:space="preserve"> </w:t>
      </w:r>
      <w:r w:rsidR="00DC0776" w:rsidRPr="0080221D">
        <w:t>hodin, nepřesahující</w:t>
      </w:r>
      <w:r w:rsidRPr="0080221D">
        <w:t xml:space="preserve"> </w:t>
      </w:r>
      <w:r w:rsidR="00E2321F" w:rsidRPr="0080221D">
        <w:t xml:space="preserve">však </w:t>
      </w:r>
      <w:r w:rsidR="0080221D" w:rsidRPr="0080221D">
        <w:t>25 hodin</w:t>
      </w:r>
      <w:r w:rsidRPr="0080221D">
        <w:t xml:space="preserve"> měsíčně. V případě plánovaného pobytu Konzultanta mimo ČR v trvání 2 a více týdnů, je Konzultant povinen informovat </w:t>
      </w:r>
      <w:r w:rsidR="00BF0B0B">
        <w:t xml:space="preserve">     </w:t>
      </w:r>
      <w:r w:rsidRPr="0080221D">
        <w:t>o této skutečnosti Klienta alespoň s týdenním předstihem.</w:t>
      </w:r>
      <w:r>
        <w:t xml:space="preserve"> </w:t>
      </w:r>
    </w:p>
    <w:p w14:paraId="6596AF3F" w14:textId="77777777" w:rsidR="00C778C4" w:rsidRDefault="00C778C4" w:rsidP="00C778C4">
      <w:pPr>
        <w:spacing w:line="240" w:lineRule="auto"/>
        <w:contextualSpacing/>
      </w:pPr>
    </w:p>
    <w:p w14:paraId="5ED0890B" w14:textId="77777777" w:rsidR="00BB0FA4" w:rsidRDefault="00BB0FA4" w:rsidP="00C778C4">
      <w:pPr>
        <w:spacing w:line="240" w:lineRule="auto"/>
        <w:contextualSpacing/>
      </w:pPr>
    </w:p>
    <w:p w14:paraId="60CDE3B8" w14:textId="445C67C9" w:rsidR="00C778C4" w:rsidRPr="00C778C4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Článek 3</w:t>
      </w:r>
      <w:r>
        <w:rPr>
          <w:b/>
          <w:bCs/>
        </w:rPr>
        <w:br/>
      </w:r>
      <w:r w:rsidR="00C778C4" w:rsidRPr="00C778C4">
        <w:rPr>
          <w:b/>
          <w:bCs/>
        </w:rPr>
        <w:t>Doba trvání dohody</w:t>
      </w:r>
    </w:p>
    <w:p w14:paraId="55A5EFE5" w14:textId="7FA134FB" w:rsidR="00C778C4" w:rsidRDefault="00C778C4" w:rsidP="00C778C4">
      <w:pPr>
        <w:spacing w:line="240" w:lineRule="auto"/>
        <w:contextualSpacing/>
      </w:pPr>
      <w:r w:rsidRPr="0080221D">
        <w:t>a) Tato Smlouva se uzavírá na dobu určitou</w:t>
      </w:r>
      <w:r w:rsidR="00DC0776" w:rsidRPr="0080221D">
        <w:t xml:space="preserve"> do 31.12.202</w:t>
      </w:r>
      <w:r w:rsidR="001F052E">
        <w:t>5</w:t>
      </w:r>
      <w:r w:rsidRPr="0080221D">
        <w:t>.</w:t>
      </w:r>
      <w:r>
        <w:t xml:space="preserve"> </w:t>
      </w:r>
    </w:p>
    <w:p w14:paraId="59F10D2A" w14:textId="77777777" w:rsidR="00C778C4" w:rsidRDefault="00C778C4" w:rsidP="00C778C4">
      <w:pPr>
        <w:spacing w:line="240" w:lineRule="auto"/>
        <w:contextualSpacing/>
      </w:pPr>
    </w:p>
    <w:p w14:paraId="41FD2858" w14:textId="77777777" w:rsidR="00BB0FA4" w:rsidRDefault="00BB0FA4" w:rsidP="00597826">
      <w:pPr>
        <w:spacing w:line="240" w:lineRule="auto"/>
        <w:contextualSpacing/>
        <w:jc w:val="center"/>
        <w:rPr>
          <w:b/>
          <w:bCs/>
        </w:rPr>
      </w:pPr>
    </w:p>
    <w:p w14:paraId="2BF8FB12" w14:textId="70C3516B" w:rsidR="00597826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Článek 4</w:t>
      </w:r>
    </w:p>
    <w:p w14:paraId="0F92F075" w14:textId="1E728F87" w:rsidR="00C778C4" w:rsidRPr="00C778C4" w:rsidRDefault="00C778C4" w:rsidP="00597826">
      <w:pPr>
        <w:spacing w:line="240" w:lineRule="auto"/>
        <w:contextualSpacing/>
        <w:jc w:val="center"/>
        <w:rPr>
          <w:b/>
          <w:bCs/>
        </w:rPr>
      </w:pPr>
      <w:r w:rsidRPr="00C778C4">
        <w:rPr>
          <w:b/>
          <w:bCs/>
        </w:rPr>
        <w:t>Odměna</w:t>
      </w:r>
    </w:p>
    <w:p w14:paraId="131F7712" w14:textId="4EC08FF5" w:rsidR="00C778C4" w:rsidRDefault="00C778C4" w:rsidP="00C778C4">
      <w:pPr>
        <w:spacing w:line="240" w:lineRule="auto"/>
        <w:contextualSpacing/>
      </w:pPr>
      <w:r>
        <w:t xml:space="preserve">a) Za poskytnuté Služby náleží Konzultantovi odměna ve </w:t>
      </w:r>
      <w:r w:rsidRPr="0080221D">
        <w:t xml:space="preserve">výši </w:t>
      </w:r>
      <w:r w:rsidR="0080221D" w:rsidRPr="0080221D">
        <w:t>400,-</w:t>
      </w:r>
      <w:r w:rsidRPr="0080221D">
        <w:t xml:space="preserve"> Kč za </w:t>
      </w:r>
      <w:r w:rsidR="00FC3D64">
        <w:t>hodinu</w:t>
      </w:r>
      <w:r w:rsidR="00E2321F" w:rsidRPr="0080221D">
        <w:t>.</w:t>
      </w:r>
    </w:p>
    <w:p w14:paraId="3927BAB7" w14:textId="77777777" w:rsidR="00C778C4" w:rsidRDefault="00C778C4" w:rsidP="00C778C4">
      <w:pPr>
        <w:spacing w:line="240" w:lineRule="auto"/>
        <w:contextualSpacing/>
      </w:pPr>
    </w:p>
    <w:p w14:paraId="4432DBC4" w14:textId="2A217B99" w:rsidR="00C778C4" w:rsidRDefault="00C778C4" w:rsidP="00F51111">
      <w:pPr>
        <w:spacing w:line="240" w:lineRule="auto"/>
        <w:contextualSpacing/>
        <w:jc w:val="both"/>
      </w:pPr>
      <w:r>
        <w:t xml:space="preserve">b) Konzultant vždy do 10. dne následujícího kalendářního měsíce vystaví Klientovi fakturu </w:t>
      </w:r>
      <w:r w:rsidR="00F51111">
        <w:br/>
      </w:r>
      <w:r>
        <w:t>za poskytnuté Služby</w:t>
      </w:r>
      <w:r w:rsidR="00FC3D64">
        <w:t xml:space="preserve">, </w:t>
      </w:r>
      <w:r>
        <w:t>k faktuře připojí detailní přehled poskytnutých Služeb</w:t>
      </w:r>
      <w:r w:rsidR="00793B49">
        <w:t xml:space="preserve"> a rozsah hodin </w:t>
      </w:r>
      <w:r w:rsidR="008A2EDC">
        <w:t xml:space="preserve">                </w:t>
      </w:r>
      <w:r w:rsidR="00793B49">
        <w:t>konzultační činnosti</w:t>
      </w:r>
      <w:r w:rsidR="00FC3D64">
        <w:t xml:space="preserve"> a zašle ji elektronicky na adresu</w:t>
      </w:r>
      <w:r w:rsidR="008A2EDC">
        <w:t xml:space="preserve"> </w:t>
      </w:r>
      <w:proofErr w:type="spellStart"/>
      <w:r w:rsidR="008A2EDC">
        <w:t>xxxxx</w:t>
      </w:r>
      <w:proofErr w:type="spellEnd"/>
      <w:r w:rsidR="00FC3D64">
        <w:t xml:space="preserve"> nebo ji jiným způsobem doručí </w:t>
      </w:r>
      <w:r w:rsidR="008A2EDC">
        <w:t xml:space="preserve">                                         </w:t>
      </w:r>
      <w:r w:rsidR="00FC3D64">
        <w:t>na Sekretariát rektora</w:t>
      </w:r>
      <w:r>
        <w:t>. Klient se zavazuje Konzultantovi uhradit fakturovanou částku do 15 dní ode dne doručení faktury Klientovi. Odměna bude zaslána na účet uvedený na faktuře.</w:t>
      </w:r>
      <w:r w:rsidR="00524946">
        <w:t xml:space="preserve"> Faktura </w:t>
      </w:r>
      <w:r w:rsidR="00CF1A6E">
        <w:t xml:space="preserve">                             </w:t>
      </w:r>
      <w:r w:rsidR="00524946">
        <w:t>Konzultanta musí mít náležitosti účetního dokladu, dle zákona, v případě absence těchto náležitostí nebude proplacena a bude vrácena, s příslušným odůvodněním, Konzultantovi.</w:t>
      </w:r>
    </w:p>
    <w:p w14:paraId="1F77EE9B" w14:textId="340B2ABA" w:rsidR="00C778C4" w:rsidRDefault="00C778C4" w:rsidP="00C778C4">
      <w:pPr>
        <w:spacing w:line="240" w:lineRule="auto"/>
        <w:contextualSpacing/>
      </w:pPr>
    </w:p>
    <w:p w14:paraId="2B72F6C4" w14:textId="77777777" w:rsidR="00C778C4" w:rsidRDefault="00C778C4" w:rsidP="00C778C4">
      <w:pPr>
        <w:spacing w:line="240" w:lineRule="auto"/>
        <w:contextualSpacing/>
      </w:pPr>
    </w:p>
    <w:p w14:paraId="156CA7D6" w14:textId="77777777" w:rsidR="00BB0FA4" w:rsidRDefault="00BB0FA4" w:rsidP="00C778C4">
      <w:pPr>
        <w:spacing w:line="240" w:lineRule="auto"/>
        <w:contextualSpacing/>
      </w:pPr>
    </w:p>
    <w:p w14:paraId="55FF883B" w14:textId="09D3EA22" w:rsidR="00597826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Článek 5</w:t>
      </w:r>
    </w:p>
    <w:p w14:paraId="002D9F91" w14:textId="4B2BCAE7" w:rsidR="00C778C4" w:rsidRPr="00597826" w:rsidRDefault="00C778C4" w:rsidP="00597826">
      <w:pPr>
        <w:spacing w:line="240" w:lineRule="auto"/>
        <w:contextualSpacing/>
        <w:jc w:val="center"/>
        <w:rPr>
          <w:b/>
          <w:bCs/>
        </w:rPr>
      </w:pPr>
      <w:r w:rsidRPr="00C778C4">
        <w:rPr>
          <w:b/>
          <w:bCs/>
        </w:rPr>
        <w:t>Prokazatelně vynaložené náklady</w:t>
      </w:r>
    </w:p>
    <w:p w14:paraId="714F23F6" w14:textId="3EB40AF4" w:rsidR="00C778C4" w:rsidRPr="0015698F" w:rsidRDefault="00C778C4" w:rsidP="00597826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Klient Konzultantovi uhradí Konzultantem rozumně vynaložené náklady v souvislosti </w:t>
      </w:r>
      <w:r w:rsidR="00F51111">
        <w:br/>
      </w:r>
      <w:r>
        <w:t xml:space="preserve">s poskytováním Služeb dle této Smlouvy, a to za předpokladu, že Konzultant předloží příslušné účetní doklady. </w:t>
      </w:r>
      <w:r w:rsidR="00E2321F">
        <w:t>Jednotlivé n</w:t>
      </w:r>
      <w:r>
        <w:t xml:space="preserve">áklady Konzultanta přesahující částku ve výši </w:t>
      </w:r>
      <w:r w:rsidR="00E2321F">
        <w:t>1.000</w:t>
      </w:r>
      <w:r>
        <w:t xml:space="preserve"> Kč budou Klientem </w:t>
      </w:r>
      <w:r w:rsidRPr="0015698F">
        <w:t>uhrazeny pouze v případě, že s nimi Klient vyslovil předchozí písemný souhlas.</w:t>
      </w:r>
    </w:p>
    <w:p w14:paraId="1C151181" w14:textId="05BDC748" w:rsidR="00F21F35" w:rsidRPr="0015698F" w:rsidRDefault="00F21F35" w:rsidP="00597826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</w:pPr>
      <w:r w:rsidRPr="0015698F">
        <w:t xml:space="preserve">Při použití soukromého vozidla Konzultanta se strany dohodly na úhradě </w:t>
      </w:r>
      <w:r w:rsidR="00793B49" w:rsidRPr="0015698F">
        <w:t>cestovních náhrad dle obecně závazného právního předpisu.</w:t>
      </w:r>
    </w:p>
    <w:p w14:paraId="04238D9B" w14:textId="77777777" w:rsidR="00C778C4" w:rsidRDefault="00C778C4" w:rsidP="00C778C4">
      <w:pPr>
        <w:spacing w:line="240" w:lineRule="auto"/>
        <w:contextualSpacing/>
      </w:pPr>
    </w:p>
    <w:p w14:paraId="04E74E14" w14:textId="77777777" w:rsidR="00BB0FA4" w:rsidRDefault="00BB0FA4" w:rsidP="00C778C4">
      <w:pPr>
        <w:spacing w:line="240" w:lineRule="auto"/>
        <w:contextualSpacing/>
      </w:pPr>
    </w:p>
    <w:p w14:paraId="62FC311F" w14:textId="487BECB1" w:rsidR="00C778C4" w:rsidRPr="00C778C4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C778C4" w:rsidRPr="00C778C4">
        <w:rPr>
          <w:b/>
          <w:bCs/>
        </w:rPr>
        <w:t>6</w:t>
      </w:r>
      <w:r>
        <w:rPr>
          <w:b/>
          <w:bCs/>
        </w:rPr>
        <w:br/>
      </w:r>
      <w:r w:rsidR="00C778C4" w:rsidRPr="00C778C4">
        <w:rPr>
          <w:b/>
          <w:bCs/>
        </w:rPr>
        <w:t>Povinnosti konzultanta</w:t>
      </w:r>
    </w:p>
    <w:p w14:paraId="7FF56CD7" w14:textId="5413360D" w:rsidR="00C778C4" w:rsidRDefault="00C778C4" w:rsidP="00F51111">
      <w:pPr>
        <w:spacing w:line="240" w:lineRule="auto"/>
        <w:contextualSpacing/>
        <w:jc w:val="both"/>
      </w:pPr>
      <w:r>
        <w:t>a) Konzultant se zavazuje poskytovat sjednané Služby s vynaložením profesionální a odborné péče, pečlivě a řádně dle pokynů a potřeb Klienta a dodržovat sjednané podmínky. Při poskytování Služeb dle této Smlouvy je Konzultant povinen dodržovat obecně závazné právní předpisy.</w:t>
      </w:r>
    </w:p>
    <w:p w14:paraId="055D7A9B" w14:textId="77777777" w:rsidR="00C778C4" w:rsidRDefault="00C778C4" w:rsidP="00C778C4">
      <w:pPr>
        <w:spacing w:line="240" w:lineRule="auto"/>
        <w:contextualSpacing/>
      </w:pPr>
    </w:p>
    <w:p w14:paraId="0C21D097" w14:textId="77777777" w:rsidR="00C778C4" w:rsidRDefault="00C778C4" w:rsidP="00C778C4">
      <w:pPr>
        <w:spacing w:line="240" w:lineRule="auto"/>
        <w:contextualSpacing/>
      </w:pPr>
    </w:p>
    <w:p w14:paraId="1317667E" w14:textId="77777777" w:rsidR="00BB0FA4" w:rsidRDefault="00BB0FA4" w:rsidP="00C778C4">
      <w:pPr>
        <w:spacing w:line="240" w:lineRule="auto"/>
        <w:contextualSpacing/>
      </w:pPr>
    </w:p>
    <w:p w14:paraId="084BF438" w14:textId="089B98E4" w:rsidR="00C778C4" w:rsidRPr="00C778C4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C778C4" w:rsidRPr="00C778C4">
        <w:rPr>
          <w:b/>
          <w:bCs/>
        </w:rPr>
        <w:t>7</w:t>
      </w:r>
      <w:r>
        <w:rPr>
          <w:b/>
          <w:bCs/>
        </w:rPr>
        <w:br/>
      </w:r>
      <w:r w:rsidR="00C778C4" w:rsidRPr="00C778C4">
        <w:rPr>
          <w:b/>
          <w:bCs/>
        </w:rPr>
        <w:t>Povinnost mlčenlivosti</w:t>
      </w:r>
    </w:p>
    <w:p w14:paraId="64E4C722" w14:textId="4350E11D" w:rsidR="00C778C4" w:rsidRDefault="00C778C4" w:rsidP="00F51111">
      <w:pPr>
        <w:spacing w:line="240" w:lineRule="auto"/>
        <w:contextualSpacing/>
        <w:jc w:val="both"/>
      </w:pPr>
      <w:r>
        <w:t xml:space="preserve">a) Mimo požadované poskytování Služeb, Konzultant souhlasí, že po dobu trvání této Smlouvy </w:t>
      </w:r>
      <w:r w:rsidR="00F51111">
        <w:br/>
      </w:r>
      <w:r>
        <w:t>i po jejím ukončení není Konzultant oprávněn využívat ani sdělovat nebo zveřejňovat obchodní tajemství, důvěrné informace týkající se Klienta ani jakékoli informace důvěrné povahy ani osobní údaje, o nichž se Konzultant dozví při plnění svých povinností.</w:t>
      </w:r>
    </w:p>
    <w:p w14:paraId="37B8456F" w14:textId="77777777" w:rsidR="00C778C4" w:rsidRDefault="00C778C4" w:rsidP="00C778C4">
      <w:pPr>
        <w:spacing w:line="240" w:lineRule="auto"/>
        <w:contextualSpacing/>
      </w:pPr>
    </w:p>
    <w:p w14:paraId="1103A424" w14:textId="4510E84C" w:rsidR="00C778C4" w:rsidRDefault="00C778C4" w:rsidP="00710C61">
      <w:pPr>
        <w:spacing w:line="240" w:lineRule="auto"/>
        <w:contextualSpacing/>
        <w:jc w:val="both"/>
      </w:pPr>
      <w:r>
        <w:t xml:space="preserve">b) Po ukončení této Smlouvy vrátí Konzultant Klientovi všechny dokumenty (včetně informací souvisejících s vývojem produktu, potvrzení, specifikací, produktových portfolií, všech návrhů, seznamů zákazníků a ceníků, tištěných materiálů, náčrtků, poznámek, návrhů) a jejich kopie, jakož </w:t>
      </w:r>
      <w:r w:rsidR="00F51111">
        <w:br/>
      </w:r>
      <w:r>
        <w:t xml:space="preserve">i všechny předměty a obchodní tajemství související s činností Klienta. Tato povinnost zahrnuje, mimo jiné, písemné dokumenty, nosiče dat a počítače. Konzultant si nesmí ponechat důvěrné </w:t>
      </w:r>
      <w:r w:rsidR="00175965">
        <w:t xml:space="preserve">                           </w:t>
      </w:r>
      <w:r>
        <w:t xml:space="preserve">informace, které jsou majetkem Klienta. V případě, že není možné vrátit všechny dokumenty, musí </w:t>
      </w:r>
      <w:r w:rsidR="00FB3A82">
        <w:t xml:space="preserve">                    </w:t>
      </w:r>
      <w:r>
        <w:t>být tyto zničeny, a to včetně všech kopií.</w:t>
      </w:r>
    </w:p>
    <w:p w14:paraId="53BCB40C" w14:textId="77777777" w:rsidR="00C778C4" w:rsidRDefault="00C778C4" w:rsidP="00C778C4">
      <w:pPr>
        <w:spacing w:line="240" w:lineRule="auto"/>
        <w:contextualSpacing/>
      </w:pPr>
    </w:p>
    <w:p w14:paraId="24187F89" w14:textId="77777777" w:rsidR="00BB0FA4" w:rsidRDefault="00BB0FA4" w:rsidP="00597826">
      <w:pPr>
        <w:spacing w:line="240" w:lineRule="auto"/>
        <w:contextualSpacing/>
        <w:jc w:val="center"/>
        <w:rPr>
          <w:b/>
          <w:bCs/>
        </w:rPr>
      </w:pPr>
    </w:p>
    <w:p w14:paraId="09540854" w14:textId="653B0415" w:rsidR="00C778C4" w:rsidRPr="00C778C4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A91BE0">
        <w:rPr>
          <w:b/>
          <w:bCs/>
        </w:rPr>
        <w:t>8</w:t>
      </w:r>
      <w:r>
        <w:rPr>
          <w:b/>
          <w:bCs/>
        </w:rPr>
        <w:br/>
      </w:r>
      <w:r w:rsidR="00C778C4" w:rsidRPr="00C778C4">
        <w:rPr>
          <w:b/>
          <w:bCs/>
        </w:rPr>
        <w:t>Ochrana osobních údajů</w:t>
      </w:r>
    </w:p>
    <w:p w14:paraId="77D03B6E" w14:textId="542077F0" w:rsidR="00C778C4" w:rsidRDefault="00C778C4" w:rsidP="00F51111">
      <w:pPr>
        <w:spacing w:line="240" w:lineRule="auto"/>
        <w:contextualSpacing/>
        <w:jc w:val="both"/>
      </w:pPr>
      <w:r>
        <w:t xml:space="preserve">a) Klient zpracovává osobní údaje Konzultanta v souladu s právními předpisy, zejména s Nařízením Evropského parlamentu a Rady (EU) č. 2016/679 o ochraně fyzických osob v souvislosti se </w:t>
      </w:r>
      <w:r w:rsidR="00706A85">
        <w:t xml:space="preserve">                    </w:t>
      </w:r>
      <w:r>
        <w:t>zpracováním osobních údajů a o volném pohybu těchto údajů.</w:t>
      </w:r>
    </w:p>
    <w:p w14:paraId="0A84DEA7" w14:textId="77777777" w:rsidR="00C778C4" w:rsidRDefault="00C778C4" w:rsidP="00F51111">
      <w:pPr>
        <w:spacing w:line="240" w:lineRule="auto"/>
        <w:contextualSpacing/>
        <w:jc w:val="both"/>
      </w:pPr>
    </w:p>
    <w:p w14:paraId="265E7187" w14:textId="30EB348E" w:rsidR="00C778C4" w:rsidRDefault="00C778C4" w:rsidP="00F51111">
      <w:pPr>
        <w:spacing w:line="240" w:lineRule="auto"/>
        <w:contextualSpacing/>
        <w:jc w:val="both"/>
      </w:pPr>
      <w:r>
        <w:t xml:space="preserve">b) Konzultant souhlasí s tím, že Klient bude evidovat a zpracovávat osobní údaje poskytnuté Konzultantem v souvislosti s poskytováním Služeb, a to včetně Konzultantova jména, příjmení, data narození, rodného čísla, adresy a údajů o Konzultantově vzdělání, popisu jeho činnosti pro Klienta </w:t>
      </w:r>
      <w:r w:rsidR="00F51111">
        <w:br/>
      </w:r>
      <w:r>
        <w:t>(dále jen „Údaje“).</w:t>
      </w:r>
    </w:p>
    <w:p w14:paraId="10361F1D" w14:textId="77777777" w:rsidR="00C778C4" w:rsidRDefault="00C778C4" w:rsidP="00F51111">
      <w:pPr>
        <w:spacing w:line="240" w:lineRule="auto"/>
        <w:contextualSpacing/>
        <w:jc w:val="both"/>
      </w:pPr>
    </w:p>
    <w:p w14:paraId="17046F8E" w14:textId="7693B4FD" w:rsidR="00597826" w:rsidRDefault="00C778C4" w:rsidP="00F51111">
      <w:pPr>
        <w:spacing w:line="240" w:lineRule="auto"/>
        <w:jc w:val="both"/>
      </w:pPr>
      <w:r>
        <w:t xml:space="preserve">c) Klient má právo Údaje používat pro účely evidence činností Konzultanta sjednaných touto </w:t>
      </w:r>
      <w:r w:rsidR="00877B41">
        <w:t xml:space="preserve">              </w:t>
      </w:r>
      <w:r>
        <w:t xml:space="preserve">Smlouvou. Klient má právo Údaje a výsledky jejich zpracování používat jen pro své interní potřeby. Klient nemá právo Údaje zpřístupnit třetím osobám vyjma případů, kdy je taková povinnost </w:t>
      </w:r>
      <w:r w:rsidR="00877B41">
        <w:t xml:space="preserve">                         </w:t>
      </w:r>
      <w:r>
        <w:t>zakotvena v zákoně.</w:t>
      </w:r>
    </w:p>
    <w:p w14:paraId="7CF2DD82" w14:textId="20384D51" w:rsidR="00C778C4" w:rsidRDefault="00C778C4" w:rsidP="00F51111">
      <w:pPr>
        <w:spacing w:line="240" w:lineRule="auto"/>
        <w:contextualSpacing/>
        <w:jc w:val="both"/>
      </w:pPr>
      <w:r>
        <w:t>d) Konzultant se zavazuje Klientovi bez zbytečného odkladu oznámit jakékoliv změny svých osobních údajů.</w:t>
      </w:r>
    </w:p>
    <w:p w14:paraId="0C28C58E" w14:textId="77777777" w:rsidR="00C778C4" w:rsidRDefault="00C778C4" w:rsidP="00F51111">
      <w:pPr>
        <w:spacing w:line="240" w:lineRule="auto"/>
        <w:contextualSpacing/>
        <w:jc w:val="both"/>
      </w:pPr>
    </w:p>
    <w:p w14:paraId="29600F63" w14:textId="77777777" w:rsidR="00BB0FA4" w:rsidRDefault="00BB0FA4" w:rsidP="00F51111">
      <w:pPr>
        <w:spacing w:line="240" w:lineRule="auto"/>
        <w:contextualSpacing/>
        <w:jc w:val="both"/>
      </w:pPr>
    </w:p>
    <w:p w14:paraId="7989E402" w14:textId="77777777" w:rsidR="00C4353F" w:rsidRDefault="00C4353F" w:rsidP="00597826">
      <w:pPr>
        <w:spacing w:line="240" w:lineRule="auto"/>
        <w:contextualSpacing/>
        <w:jc w:val="center"/>
        <w:rPr>
          <w:b/>
          <w:bCs/>
        </w:rPr>
      </w:pPr>
    </w:p>
    <w:p w14:paraId="132F9FD9" w14:textId="70F4C72C" w:rsidR="00C778C4" w:rsidRPr="00C778C4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C778C4" w:rsidRPr="00C778C4">
        <w:rPr>
          <w:b/>
          <w:bCs/>
        </w:rPr>
        <w:t>10</w:t>
      </w:r>
      <w:r>
        <w:rPr>
          <w:b/>
          <w:bCs/>
        </w:rPr>
        <w:br/>
      </w:r>
      <w:r w:rsidR="00C778C4" w:rsidRPr="00C778C4">
        <w:rPr>
          <w:b/>
          <w:bCs/>
        </w:rPr>
        <w:t>Ukončení smlouvy</w:t>
      </w:r>
    </w:p>
    <w:p w14:paraId="091E8893" w14:textId="77777777" w:rsidR="00C778C4" w:rsidRDefault="00C778C4" w:rsidP="00F51111">
      <w:pPr>
        <w:spacing w:line="240" w:lineRule="auto"/>
        <w:contextualSpacing/>
        <w:jc w:val="both"/>
      </w:pPr>
    </w:p>
    <w:p w14:paraId="736A2D71" w14:textId="0E8C6BD7" w:rsidR="00C778C4" w:rsidRDefault="00C778C4" w:rsidP="00F51111">
      <w:pPr>
        <w:spacing w:line="240" w:lineRule="auto"/>
        <w:contextualSpacing/>
        <w:jc w:val="both"/>
      </w:pPr>
      <w:r>
        <w:t>Klient</w:t>
      </w:r>
      <w:r w:rsidR="00306A6C">
        <w:t xml:space="preserve"> a Konzultant jsou</w:t>
      </w:r>
      <w:r>
        <w:t xml:space="preserve"> oprávněn</w:t>
      </w:r>
      <w:r w:rsidR="00306A6C">
        <w:t>i</w:t>
      </w:r>
      <w:r>
        <w:t xml:space="preserve"> vypovědět tuto </w:t>
      </w:r>
      <w:r w:rsidR="00D479B2">
        <w:t>Smlouvu,</w:t>
      </w:r>
      <w:r w:rsidR="00644410">
        <w:t xml:space="preserve"> a to i bez udání důvodu</w:t>
      </w:r>
      <w:r>
        <w:t xml:space="preserve">. Výpovědní lhůta </w:t>
      </w:r>
      <w:r w:rsidR="00644410">
        <w:t>činí jeden</w:t>
      </w:r>
      <w:r>
        <w:t xml:space="preserve"> měsíc</w:t>
      </w:r>
      <w:r w:rsidR="00644410">
        <w:t xml:space="preserve"> a běží</w:t>
      </w:r>
      <w:r>
        <w:t xml:space="preserve"> od prvního dne měsíce, který následuje po dni </w:t>
      </w:r>
      <w:r w:rsidR="00306A6C">
        <w:t xml:space="preserve">doručení </w:t>
      </w:r>
      <w:r>
        <w:t>výpovědi</w:t>
      </w:r>
      <w:r w:rsidR="00306A6C">
        <w:t xml:space="preserve"> druhé</w:t>
      </w:r>
      <w:r w:rsidR="006564A2">
        <w:t xml:space="preserve">                  </w:t>
      </w:r>
      <w:r w:rsidR="00306A6C">
        <w:t xml:space="preserve"> smluvní straně</w:t>
      </w:r>
      <w:r>
        <w:t xml:space="preserve">. </w:t>
      </w:r>
    </w:p>
    <w:p w14:paraId="3761AF59" w14:textId="77777777" w:rsidR="00597826" w:rsidRDefault="00597826" w:rsidP="00710C61">
      <w:pPr>
        <w:spacing w:line="240" w:lineRule="auto"/>
        <w:contextualSpacing/>
        <w:rPr>
          <w:b/>
          <w:bCs/>
        </w:rPr>
      </w:pPr>
    </w:p>
    <w:p w14:paraId="02BBB3BA" w14:textId="77777777" w:rsidR="00597826" w:rsidRDefault="00597826" w:rsidP="00597826">
      <w:pPr>
        <w:spacing w:line="240" w:lineRule="auto"/>
        <w:contextualSpacing/>
        <w:jc w:val="center"/>
        <w:rPr>
          <w:b/>
          <w:bCs/>
        </w:rPr>
      </w:pPr>
    </w:p>
    <w:p w14:paraId="64658B24" w14:textId="77777777" w:rsidR="00BB0FA4" w:rsidRDefault="00BB0FA4" w:rsidP="00597826">
      <w:pPr>
        <w:spacing w:line="240" w:lineRule="auto"/>
        <w:contextualSpacing/>
        <w:jc w:val="center"/>
        <w:rPr>
          <w:b/>
          <w:bCs/>
        </w:rPr>
      </w:pPr>
    </w:p>
    <w:p w14:paraId="77915F30" w14:textId="3990CAAA" w:rsidR="00C778C4" w:rsidRPr="00C778C4" w:rsidRDefault="00597826" w:rsidP="0059782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C778C4" w:rsidRPr="00C778C4">
        <w:rPr>
          <w:b/>
          <w:bCs/>
        </w:rPr>
        <w:t>11</w:t>
      </w:r>
      <w:r>
        <w:rPr>
          <w:b/>
          <w:bCs/>
        </w:rPr>
        <w:br/>
      </w:r>
      <w:r w:rsidR="00C778C4" w:rsidRPr="00C778C4">
        <w:rPr>
          <w:b/>
          <w:bCs/>
        </w:rPr>
        <w:t>Závěrečná ustanovení</w:t>
      </w:r>
    </w:p>
    <w:p w14:paraId="1EFDBE75" w14:textId="77777777" w:rsidR="00C778C4" w:rsidRDefault="00C778C4" w:rsidP="00F51111">
      <w:pPr>
        <w:spacing w:line="240" w:lineRule="auto"/>
        <w:contextualSpacing/>
        <w:jc w:val="both"/>
      </w:pPr>
    </w:p>
    <w:p w14:paraId="5FC10DA4" w14:textId="77777777" w:rsidR="00524946" w:rsidRPr="00710C61" w:rsidRDefault="00524946" w:rsidP="00524946">
      <w:pPr>
        <w:pStyle w:val="Odstavecseseznamem"/>
        <w:numPr>
          <w:ilvl w:val="0"/>
          <w:numId w:val="3"/>
        </w:numPr>
        <w:jc w:val="both"/>
        <w:rPr>
          <w:rStyle w:val="FontStyle51"/>
          <w:rFonts w:asciiTheme="minorHAnsi" w:hAnsiTheme="minorHAnsi" w:cstheme="minorHAnsi"/>
          <w:i w:val="0"/>
          <w:sz w:val="22"/>
          <w:szCs w:val="22"/>
        </w:rPr>
      </w:pPr>
      <w:r w:rsidRPr="00710C61">
        <w:rPr>
          <w:rStyle w:val="FontStyle51"/>
          <w:rFonts w:asciiTheme="minorHAnsi" w:hAnsiTheme="minorHAnsi" w:cstheme="minorHAnsi"/>
          <w:i w:val="0"/>
          <w:sz w:val="22"/>
          <w:szCs w:val="22"/>
        </w:rPr>
        <w:t>Dispozitivní ustanovení obecně závazných právních předpisů, která jsou s touto Smlouvou v rozporu, se nepoužijí.</w:t>
      </w:r>
    </w:p>
    <w:p w14:paraId="34C5FED8" w14:textId="41856F47" w:rsidR="00524946" w:rsidRPr="00710C61" w:rsidRDefault="00524946" w:rsidP="00710C61">
      <w:pPr>
        <w:pStyle w:val="Nzev"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10C61">
        <w:rPr>
          <w:rFonts w:asciiTheme="minorHAnsi" w:hAnsiTheme="minorHAnsi" w:cstheme="minorHAnsi"/>
          <w:b w:val="0"/>
          <w:sz w:val="22"/>
          <w:szCs w:val="22"/>
        </w:rPr>
        <w:t xml:space="preserve">Odpověď strany této smlouvy, podle § 1740 odst. 3 občanského zákoníku, s dodatkem nebo odchylkou, není přijetím nabídky na uzavření této smlouvy, ani když podstatně nemění podmínky nabídky. Žádný závazek dle této smlouvy není fixním závazkem podle § 1980 občanského zákoníku. Práva a závazky z této smlouvy nelze postoupit jinému subjektu. </w:t>
      </w:r>
    </w:p>
    <w:p w14:paraId="2ACE6821" w14:textId="420555A9" w:rsidR="00524946" w:rsidRPr="00524946" w:rsidRDefault="00524946" w:rsidP="00524946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524946">
        <w:rPr>
          <w:rFonts w:cstheme="minorHAnsi"/>
        </w:rPr>
        <w:t xml:space="preserve">Bude-li kterékoliv ustanovení této smlouvy shledáno příslušným soudem nebo jiným </w:t>
      </w:r>
      <w:r w:rsidR="00835411">
        <w:rPr>
          <w:rFonts w:cstheme="minorHAnsi"/>
        </w:rPr>
        <w:t xml:space="preserve">                </w:t>
      </w:r>
      <w:r w:rsidRPr="00524946">
        <w:rPr>
          <w:rFonts w:cstheme="minorHAnsi"/>
        </w:rPr>
        <w:t xml:space="preserve">orgánem neplatným, neúčinným, nevymahatelným, nebo takovým, že se k němu nebude přihlížet, bude takové ustanovení považováno za vypuštěné z této smlouvy a ostatní ustanovení této smlouvy zůstanou v plném rozsahu v platnosti a účinnosti, pokud z povahy takového ustanovení nebo z jeho obsahu anebo z okolností, za nichž bylo uzavřeno, nevyplývá, že je nelze oddělit od ostatního obsahu této smlouvy. Smluvní strany v takovém </w:t>
      </w:r>
      <w:r w:rsidR="00CE1665">
        <w:rPr>
          <w:rFonts w:cstheme="minorHAnsi"/>
        </w:rPr>
        <w:t xml:space="preserve">                                </w:t>
      </w:r>
      <w:r w:rsidRPr="00524946">
        <w:rPr>
          <w:rFonts w:cstheme="minorHAnsi"/>
        </w:rPr>
        <w:t>případě uzavřou takové dodatky k této smlouvě, které budou nezbytné k dosažení výsledku stejného, a pokud to není možné, pak co nejbližšího tomu, jakého mělo být dosaženo neplatným ustanovením, nevymahatelným ustanovením, nebo ustanovením, ke kterému se nepřihlíželo.</w:t>
      </w:r>
    </w:p>
    <w:p w14:paraId="4B7D94A7" w14:textId="77777777" w:rsidR="00524946" w:rsidRPr="00306A6C" w:rsidRDefault="00524946" w:rsidP="00710C61">
      <w:pPr>
        <w:pStyle w:val="Odstavecseseznamem"/>
        <w:jc w:val="both"/>
        <w:rPr>
          <w:rFonts w:cstheme="minorHAnsi"/>
        </w:rPr>
      </w:pPr>
    </w:p>
    <w:p w14:paraId="2BBC9C44" w14:textId="77777777" w:rsidR="00524946" w:rsidRPr="00710C61" w:rsidRDefault="00524946" w:rsidP="00524946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710C61">
        <w:rPr>
          <w:rFonts w:cstheme="minorHAnsi"/>
        </w:rPr>
        <w:t>Na tuto smlouvu se neuplatní ustanovení § 1793 občanského zákoníku (neúměrné zkrácení) ani § 1796 občanského zákoníku (lichva). Obě smluvní strany na sebe berou riziko nebezpečí změny okolností ve smyslu ustanovení § 1765 občanského zákoníku.</w:t>
      </w:r>
    </w:p>
    <w:p w14:paraId="7DC3AF1F" w14:textId="77777777" w:rsidR="00524946" w:rsidRPr="00710C61" w:rsidRDefault="00524946" w:rsidP="00710C61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572230F8" w14:textId="1F1FE382" w:rsidR="00524946" w:rsidRDefault="00524946" w:rsidP="00524946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10C61">
        <w:rPr>
          <w:rFonts w:asciiTheme="minorHAnsi" w:hAnsiTheme="minorHAnsi" w:cstheme="minorHAnsi"/>
          <w:sz w:val="22"/>
          <w:szCs w:val="22"/>
        </w:rPr>
        <w:t xml:space="preserve">Smluvní strany prohlašují, že tato smlouva odpovídá jejich svobodné a pravé vůli, že ji neuzavřely v tísni ani za nápadně nevýhodných podmínek, že si smlouvu po jejím sepsání </w:t>
      </w:r>
      <w:r w:rsidR="0087499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10C61">
        <w:rPr>
          <w:rFonts w:asciiTheme="minorHAnsi" w:hAnsiTheme="minorHAnsi" w:cstheme="minorHAnsi"/>
          <w:sz w:val="22"/>
          <w:szCs w:val="22"/>
        </w:rPr>
        <w:t>řádně přečetly a na důkaz souhlasu s jejím obsahem připojují své podpisy.</w:t>
      </w:r>
    </w:p>
    <w:p w14:paraId="4D64E670" w14:textId="77777777" w:rsidR="00207BDD" w:rsidRDefault="00207BDD" w:rsidP="00207BDD">
      <w:pPr>
        <w:pStyle w:val="Odstavecseseznamem"/>
        <w:rPr>
          <w:rFonts w:cstheme="minorHAnsi"/>
        </w:rPr>
      </w:pPr>
    </w:p>
    <w:p w14:paraId="6EA5BF03" w14:textId="76A610D0" w:rsidR="00207BDD" w:rsidRDefault="00207BDD" w:rsidP="0033739A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nabývá platnosti dnem jejího podpisu a účinnosti dnem jejího uveřejnění v registru smluv v souladu s </w:t>
      </w:r>
      <w:r w:rsidR="0033739A">
        <w:rPr>
          <w:rFonts w:asciiTheme="minorHAnsi" w:hAnsiTheme="minorHAnsi" w:cstheme="minorHAnsi"/>
          <w:sz w:val="22"/>
          <w:szCs w:val="22"/>
        </w:rPr>
        <w:t>§4 zákona č. 340/2015 Sb., v platném znění. Uveřejnění smlouvy zajistí VŠCHT Praha bez zbytečného odkladu po jejím uzavření, nejdéle v zákonných lhůtách.</w:t>
      </w:r>
      <w:r w:rsidR="0033739A">
        <w:rPr>
          <w:rFonts w:asciiTheme="minorHAnsi" w:hAnsiTheme="minorHAnsi" w:cstheme="minorHAnsi"/>
          <w:sz w:val="22"/>
          <w:szCs w:val="22"/>
        </w:rPr>
        <w:br/>
      </w:r>
    </w:p>
    <w:p w14:paraId="3A1827F8" w14:textId="77777777" w:rsidR="0033739A" w:rsidRPr="0033739A" w:rsidRDefault="0033739A" w:rsidP="0033739A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04132CAE" w14:textId="14F3FFA6" w:rsidR="00207BDD" w:rsidRPr="00710C61" w:rsidRDefault="00207BDD" w:rsidP="00524946">
      <w:pPr>
        <w:pStyle w:val="Zklad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je vyhotovena ve dvou stejnopisech, z nichž každá smluvní strana obdrží po jednom vyhotovení.</w:t>
      </w:r>
    </w:p>
    <w:p w14:paraId="33B053EF" w14:textId="77777777" w:rsidR="00710C61" w:rsidRDefault="00710C61" w:rsidP="0015698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5C24D2D" w14:textId="77777777" w:rsidR="00710C61" w:rsidRDefault="00710C61" w:rsidP="00710C61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7D86B91D" w14:textId="77777777" w:rsidR="00BB0FA4" w:rsidRDefault="00BB0FA4" w:rsidP="00710C61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0E94EC69" w14:textId="77777777" w:rsidR="00BB0FA4" w:rsidRDefault="00BB0FA4" w:rsidP="00710C61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63AD401C" w14:textId="657BE685" w:rsidR="00524946" w:rsidRDefault="00524946" w:rsidP="00710C61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 w:rsidRPr="00710C61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EF1E2A">
        <w:rPr>
          <w:rFonts w:asciiTheme="minorHAnsi" w:hAnsiTheme="minorHAnsi" w:cstheme="minorHAnsi"/>
          <w:sz w:val="22"/>
          <w:szCs w:val="22"/>
        </w:rPr>
        <w:t>13.1.2025</w:t>
      </w:r>
    </w:p>
    <w:p w14:paraId="303E861E" w14:textId="348F39C0" w:rsidR="00710C61" w:rsidRDefault="00710C61" w:rsidP="00710C6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5A75243" w14:textId="2F0BDA8A" w:rsidR="0015698F" w:rsidRDefault="0015698F" w:rsidP="00710C6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4CB9FE5" w14:textId="77777777" w:rsidR="0015698F" w:rsidRPr="00710C61" w:rsidRDefault="0015698F" w:rsidP="00710C6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9BCBAAA" w14:textId="77777777" w:rsidR="00BB0FA4" w:rsidRDefault="00BB0FA4" w:rsidP="00710C61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001253E7" w14:textId="023E43D4" w:rsidR="00524946" w:rsidRPr="00710C61" w:rsidRDefault="00524946" w:rsidP="00710C61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 w:rsidRPr="00710C61">
        <w:rPr>
          <w:rFonts w:asciiTheme="minorHAnsi" w:hAnsiTheme="minorHAnsi" w:cstheme="minorHAnsi"/>
          <w:sz w:val="22"/>
          <w:szCs w:val="22"/>
        </w:rPr>
        <w:t>________________</w:t>
      </w:r>
      <w:r w:rsidRPr="00710C61">
        <w:rPr>
          <w:rFonts w:asciiTheme="minorHAnsi" w:hAnsiTheme="minorHAnsi" w:cstheme="minorHAnsi"/>
          <w:sz w:val="22"/>
          <w:szCs w:val="22"/>
        </w:rPr>
        <w:tab/>
      </w:r>
      <w:r w:rsidRPr="00710C61">
        <w:rPr>
          <w:rFonts w:asciiTheme="minorHAnsi" w:hAnsiTheme="minorHAnsi" w:cstheme="minorHAnsi"/>
          <w:sz w:val="22"/>
          <w:szCs w:val="22"/>
        </w:rPr>
        <w:tab/>
      </w:r>
      <w:r w:rsidRPr="00710C61">
        <w:rPr>
          <w:rFonts w:asciiTheme="minorHAnsi" w:hAnsiTheme="minorHAnsi" w:cstheme="minorHAnsi"/>
          <w:sz w:val="22"/>
          <w:szCs w:val="22"/>
        </w:rPr>
        <w:tab/>
      </w:r>
      <w:r w:rsidRPr="00710C61">
        <w:rPr>
          <w:rFonts w:asciiTheme="minorHAnsi" w:hAnsiTheme="minorHAnsi" w:cstheme="minorHAnsi"/>
          <w:sz w:val="22"/>
          <w:szCs w:val="22"/>
        </w:rPr>
        <w:tab/>
      </w:r>
      <w:r w:rsidRPr="00710C61">
        <w:rPr>
          <w:rFonts w:asciiTheme="minorHAnsi" w:hAnsiTheme="minorHAnsi" w:cstheme="minorHAnsi"/>
          <w:sz w:val="22"/>
          <w:szCs w:val="22"/>
        </w:rPr>
        <w:tab/>
      </w:r>
      <w:r w:rsidRPr="00710C61"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14:paraId="3AA13806" w14:textId="4BE93DEA" w:rsidR="00710C61" w:rsidRDefault="0023209C" w:rsidP="00710C61">
      <w:pPr>
        <w:spacing w:line="240" w:lineRule="auto"/>
        <w:ind w:firstLine="708"/>
        <w:contextualSpacing/>
      </w:pPr>
      <w:proofErr w:type="spellStart"/>
      <w:r>
        <w:t>xxxxx</w:t>
      </w:r>
      <w:proofErr w:type="spellEnd"/>
      <w:r w:rsidR="00710C61">
        <w:tab/>
      </w:r>
      <w:r w:rsidR="00710C61">
        <w:tab/>
      </w:r>
      <w:r w:rsidR="00710C61">
        <w:tab/>
      </w:r>
      <w:r w:rsidR="00710C61">
        <w:tab/>
      </w:r>
      <w:r w:rsidR="00710C61">
        <w:tab/>
      </w:r>
      <w:r>
        <w:t xml:space="preserve">                                           </w:t>
      </w:r>
      <w:proofErr w:type="spellStart"/>
      <w:r w:rsidR="00EF1E2A">
        <w:t>xxxxx</w:t>
      </w:r>
      <w:proofErr w:type="spellEnd"/>
    </w:p>
    <w:p w14:paraId="17203654" w14:textId="1D5E02E1" w:rsidR="00BF522A" w:rsidRPr="00710C61" w:rsidRDefault="00710C61" w:rsidP="00710C61">
      <w:pPr>
        <w:spacing w:line="240" w:lineRule="auto"/>
        <w:ind w:left="5664" w:firstLine="708"/>
        <w:contextualSpacing/>
      </w:pPr>
      <w:r>
        <w:t>rektor</w:t>
      </w:r>
    </w:p>
    <w:sectPr w:rsidR="00BF522A" w:rsidRPr="0071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58"/>
    <w:multiLevelType w:val="hybridMultilevel"/>
    <w:tmpl w:val="B8762700"/>
    <w:lvl w:ilvl="0" w:tplc="B04AB9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75AC"/>
    <w:multiLevelType w:val="hybridMultilevel"/>
    <w:tmpl w:val="826AAD8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6D83"/>
    <w:multiLevelType w:val="hybridMultilevel"/>
    <w:tmpl w:val="DCC88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C4"/>
    <w:rsid w:val="000739B4"/>
    <w:rsid w:val="000E603C"/>
    <w:rsid w:val="0015698F"/>
    <w:rsid w:val="00175965"/>
    <w:rsid w:val="00182EE9"/>
    <w:rsid w:val="001F052E"/>
    <w:rsid w:val="00207BDD"/>
    <w:rsid w:val="0023209C"/>
    <w:rsid w:val="002844F2"/>
    <w:rsid w:val="00306A6C"/>
    <w:rsid w:val="0033739A"/>
    <w:rsid w:val="00345AE4"/>
    <w:rsid w:val="00524946"/>
    <w:rsid w:val="0055199B"/>
    <w:rsid w:val="00597826"/>
    <w:rsid w:val="00644410"/>
    <w:rsid w:val="006564A2"/>
    <w:rsid w:val="00706A85"/>
    <w:rsid w:val="00710C61"/>
    <w:rsid w:val="00793B49"/>
    <w:rsid w:val="0080221D"/>
    <w:rsid w:val="00835411"/>
    <w:rsid w:val="00840EF6"/>
    <w:rsid w:val="00874998"/>
    <w:rsid w:val="00877B41"/>
    <w:rsid w:val="008A2EDC"/>
    <w:rsid w:val="008B11B0"/>
    <w:rsid w:val="009419EA"/>
    <w:rsid w:val="0096764B"/>
    <w:rsid w:val="00A91BE0"/>
    <w:rsid w:val="00B27286"/>
    <w:rsid w:val="00B72445"/>
    <w:rsid w:val="00BA77FB"/>
    <w:rsid w:val="00BB0FA4"/>
    <w:rsid w:val="00BF0B0B"/>
    <w:rsid w:val="00BF522A"/>
    <w:rsid w:val="00C4353F"/>
    <w:rsid w:val="00C778C4"/>
    <w:rsid w:val="00CA788B"/>
    <w:rsid w:val="00CE1665"/>
    <w:rsid w:val="00CF1A6E"/>
    <w:rsid w:val="00D167B6"/>
    <w:rsid w:val="00D479B2"/>
    <w:rsid w:val="00DC0776"/>
    <w:rsid w:val="00E2321F"/>
    <w:rsid w:val="00EF1E2A"/>
    <w:rsid w:val="00F21F35"/>
    <w:rsid w:val="00F51111"/>
    <w:rsid w:val="00F650CB"/>
    <w:rsid w:val="00FB3A82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A286"/>
  <w15:docId w15:val="{256D010A-AA3E-4D75-9271-A42636C7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8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BE0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nadpis"/>
    <w:link w:val="NzevChar"/>
    <w:qFormat/>
    <w:rsid w:val="005249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52494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5249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5249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24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FontStyle51">
    <w:name w:val="Font Style51"/>
    <w:rsid w:val="00524946"/>
    <w:rPr>
      <w:rFonts w:ascii="Arial" w:hAnsi="Arial" w:cs="Arial" w:hint="default"/>
      <w:i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494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2494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4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9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94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C3D6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3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17AC-D70C-42A6-A9E9-D4D21AC2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Muzikarova Klara</dc:creator>
  <cp:lastModifiedBy>Maurerova Marketa</cp:lastModifiedBy>
  <cp:revision>21</cp:revision>
  <cp:lastPrinted>2024-09-24T09:54:00Z</cp:lastPrinted>
  <dcterms:created xsi:type="dcterms:W3CDTF">2025-01-14T12:10:00Z</dcterms:created>
  <dcterms:modified xsi:type="dcterms:W3CDTF">2025-01-14T12:33:00Z</dcterms:modified>
</cp:coreProperties>
</file>