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2 ke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530/2024</w:t>
      </w:r>
      <w:bookmarkEnd w:id="10"/>
      <w:bookmarkEnd w:id="11"/>
      <w:bookmarkEnd w:id="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266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“PPV – oprava betonového pláště”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27"/>
      <w:bookmarkEnd w:id="2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29"/>
      <w:bookmarkEnd w:id="30"/>
      <w:bookmarkEnd w:id="31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2"/>
      <w:bookmarkEnd w:id="33"/>
      <w:bookmarkEnd w:id="34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5"/>
      <w:bookmarkEnd w:id="36"/>
      <w:bookmarkEnd w:id="3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8"/>
      <w:bookmarkEnd w:id="39"/>
      <w:bookmarkEnd w:id="4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1"/>
      <w:bookmarkEnd w:id="42"/>
      <w:bookmarkEnd w:id="4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4"/>
      <w:bookmarkEnd w:id="45"/>
      <w:bookmarkEnd w:id="46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7"/>
      <w:bookmarkEnd w:id="48"/>
      <w:bookmarkEnd w:id="49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FINSTAV Vodohospodářská stavební s.r.o.</w:t>
      </w:r>
      <w:bookmarkEnd w:id="50"/>
      <w:bookmarkEnd w:id="51"/>
      <w:bookmarkEnd w:id="52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Černovická 4264, 430 03 Chomutov</w:t>
      </w:r>
      <w:bookmarkEnd w:id="53"/>
      <w:bookmarkEnd w:id="54"/>
      <w:bookmarkEnd w:id="5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56"/>
      <w:bookmarkEnd w:id="57"/>
      <w:bookmarkEnd w:id="5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59"/>
      <w:bookmarkEnd w:id="60"/>
      <w:bookmarkEnd w:id="6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62"/>
      <w:bookmarkEnd w:id="63"/>
      <w:bookmarkEnd w:id="64"/>
      <w:bookmarkEnd w:id="6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6"/>
      <w:bookmarkEnd w:id="67"/>
      <w:bookmarkEnd w:id="6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9"/>
      <w:bookmarkEnd w:id="70"/>
      <w:bookmarkEnd w:id="71"/>
    </w:p>
    <w:p>
      <w:pPr>
        <w:pStyle w:val="Style4"/>
        <w:keepNext/>
        <w:keepLines/>
        <w:widowControl w:val="0"/>
        <w:shd w:val="clear" w:color="auto" w:fill="auto"/>
        <w:tabs>
          <w:tab w:pos="4248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44567731</w:t>
      </w:r>
      <w:bookmarkEnd w:id="72"/>
      <w:bookmarkEnd w:id="73"/>
      <w:bookmarkEnd w:id="74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CZ44567731</w:t>
      </w:r>
      <w:bookmarkEnd w:id="75"/>
      <w:bookmarkEnd w:id="76"/>
      <w:bookmarkEnd w:id="7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8"/>
      <w:bookmarkEnd w:id="79"/>
      <w:bookmarkEnd w:id="8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1"/>
      <w:bookmarkEnd w:id="82"/>
      <w:bookmarkEnd w:id="83"/>
    </w:p>
    <w:p>
      <w:pPr>
        <w:pStyle w:val="Style4"/>
        <w:keepNext/>
        <w:keepLines/>
        <w:widowControl w:val="0"/>
        <w:shd w:val="clear" w:color="auto" w:fill="auto"/>
        <w:tabs>
          <w:tab w:pos="2798" w:val="left"/>
        </w:tabs>
        <w:bidi w:val="0"/>
        <w:spacing w:before="0" w:after="18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C, vložce č. 2125 tel.:</w:t>
        <w:tab/>
        <w:t>e-mail:</w:t>
      </w:r>
      <w:bookmarkEnd w:id="84"/>
      <w:bookmarkEnd w:id="85"/>
      <w:bookmarkEnd w:id="8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87"/>
      <w:bookmarkEnd w:id="88"/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18.12.2024 smluvní strany uzavřeli dodatek č. 1 ke smlouvě 530/2024, kterým měl být mimo jiné posunut termín předání a převzetí dokončeného díla. Při uzavírání dodatku došlo vlivem písařské chyby k posunutí termínu plnění na 30.6.2024, ačkoliv vůle smluvních stran správně směřovala k posunu termínu na 30.6.2025.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ohledem na výše uvedené se smluvní strany dohodli na uzavření tohoto dodatku, kterým bude písařská chyba opravena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chybné znění čl. II. Termín plnění, bod 1. písmeno c) předání a převzetí dokončeného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30.06.2024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správné znění čl. II. Termín plnění, bod 1. písmeno c) předání a převzetí dokončeného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30.06.2025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89"/>
      <w:bookmarkEnd w:id="90"/>
      <w:bookmarkEnd w:id="9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92"/>
      <w:bookmarkEnd w:id="93"/>
      <w:bookmarkEnd w:id="9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740" w:left="1393" w:right="1391" w:bottom="1847" w:header="131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3629025</wp:posOffset>
                </wp:positionH>
                <wp:positionV relativeFrom="paragraph">
                  <wp:posOffset>12700</wp:posOffset>
                </wp:positionV>
                <wp:extent cx="880745" cy="22542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5.75pt;margin-top:1.pt;width:69.350000000000009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</w:t>
      </w:r>
    </w:p>
    <w:p>
      <w:pPr>
        <w:widowControl w:val="0"/>
        <w:spacing w:line="149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89" w:left="0" w:right="0" w:bottom="406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89" w:left="1394" w:right="3055" w:bottom="4067" w:header="0" w:footer="3" w:gutter="0"/>
          <w:cols w:num="2" w:space="108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oprávněný zástupce objednatele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89" w:left="0" w:right="0" w:bottom="158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1688465" cy="38735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5pt;margin-top:1.pt;width:132.94999999999999pt;height:30.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589" w:left="4053" w:right="1394" w:bottom="158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10013950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0000000000003pt;margin-top:788.5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