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55C834" w14:textId="77777777" w:rsidR="00294343" w:rsidRDefault="004361F4" w:rsidP="002440FE">
      <w:pPr>
        <w:jc w:val="center"/>
        <w:rPr>
          <w:b/>
          <w:color w:val="000000"/>
          <w:sz w:val="28"/>
          <w:szCs w:val="28"/>
        </w:rPr>
      </w:pPr>
      <w:r w:rsidRPr="004361F4">
        <w:rPr>
          <w:b/>
          <w:color w:val="000000"/>
          <w:sz w:val="28"/>
          <w:szCs w:val="28"/>
        </w:rPr>
        <w:t xml:space="preserve">Smlouva o </w:t>
      </w:r>
      <w:r w:rsidR="002440FE">
        <w:rPr>
          <w:b/>
          <w:color w:val="000000"/>
          <w:sz w:val="28"/>
          <w:szCs w:val="28"/>
        </w:rPr>
        <w:t>odběru elektrické energie</w:t>
      </w:r>
    </w:p>
    <w:p w14:paraId="7CEE4203" w14:textId="77777777" w:rsidR="004361F4" w:rsidRDefault="004361F4" w:rsidP="004361F4">
      <w:pPr>
        <w:jc w:val="center"/>
        <w:rPr>
          <w:b/>
          <w:color w:val="000000"/>
          <w:sz w:val="28"/>
          <w:szCs w:val="28"/>
        </w:rPr>
      </w:pPr>
    </w:p>
    <w:p w14:paraId="5B676619" w14:textId="77777777" w:rsidR="00DB0A84" w:rsidRPr="00607CBB" w:rsidRDefault="00DB0A84" w:rsidP="00DB0A84">
      <w:pPr>
        <w:autoSpaceDE w:val="0"/>
        <w:autoSpaceDN w:val="0"/>
        <w:adjustRightInd w:val="0"/>
        <w:jc w:val="both"/>
        <w:rPr>
          <w:b/>
        </w:rPr>
      </w:pPr>
      <w:r w:rsidRPr="00607CBB">
        <w:rPr>
          <w:b/>
        </w:rPr>
        <w:t>Ústav struktury a mechaniky hornin AV ČR, v.</w:t>
      </w:r>
      <w:r w:rsidR="004361F4">
        <w:rPr>
          <w:b/>
        </w:rPr>
        <w:t xml:space="preserve"> </w:t>
      </w:r>
      <w:r w:rsidRPr="00607CBB">
        <w:rPr>
          <w:b/>
        </w:rPr>
        <w:t>v.</w:t>
      </w:r>
      <w:r w:rsidR="004361F4">
        <w:rPr>
          <w:b/>
        </w:rPr>
        <w:t xml:space="preserve"> </w:t>
      </w:r>
      <w:r w:rsidRPr="00607CBB">
        <w:rPr>
          <w:b/>
        </w:rPr>
        <w:t xml:space="preserve">i., </w:t>
      </w:r>
    </w:p>
    <w:p w14:paraId="28C4B469" w14:textId="77777777" w:rsidR="00DB0A84" w:rsidRPr="00607CBB" w:rsidRDefault="00DB0A84" w:rsidP="00DB0A84">
      <w:pPr>
        <w:autoSpaceDE w:val="0"/>
        <w:autoSpaceDN w:val="0"/>
        <w:adjustRightInd w:val="0"/>
        <w:jc w:val="both"/>
        <w:rPr>
          <w:b/>
        </w:rPr>
      </w:pPr>
      <w:r w:rsidRPr="00607CBB">
        <w:t>IČ: 67985891</w:t>
      </w:r>
    </w:p>
    <w:p w14:paraId="1D49E621" w14:textId="77777777" w:rsidR="00DB0A84" w:rsidRPr="00607CBB" w:rsidRDefault="00DB0A84" w:rsidP="00DB0A84">
      <w:pPr>
        <w:jc w:val="both"/>
      </w:pPr>
      <w:r w:rsidRPr="00607CBB">
        <w:t xml:space="preserve">se sídlem: V Holešovičkách 41, Praha 8 – Libeň, PSČ 182 09 </w:t>
      </w:r>
    </w:p>
    <w:p w14:paraId="370E4C7E" w14:textId="77777777" w:rsidR="00DB0A84" w:rsidRPr="00607CBB" w:rsidRDefault="00DB0A84" w:rsidP="00DB0A84">
      <w:pPr>
        <w:jc w:val="both"/>
      </w:pPr>
      <w:r w:rsidRPr="00607CBB">
        <w:t xml:space="preserve">Zastoupen: RNDr. </w:t>
      </w:r>
      <w:r w:rsidR="002440FE">
        <w:t>Filip Hartvich</w:t>
      </w:r>
      <w:r w:rsidR="00F52A47">
        <w:t>, Ph.D.</w:t>
      </w:r>
      <w:r w:rsidRPr="00607CBB">
        <w:t xml:space="preserve">, ředitel </w:t>
      </w:r>
    </w:p>
    <w:p w14:paraId="3A9942B5" w14:textId="77777777" w:rsidR="00294343" w:rsidRDefault="004361F4">
      <w:pPr>
        <w:rPr>
          <w:color w:val="000000"/>
        </w:rPr>
      </w:pPr>
      <w:r>
        <w:rPr>
          <w:color w:val="000000"/>
        </w:rPr>
        <w:t xml:space="preserve">(dále jen </w:t>
      </w:r>
      <w:r w:rsidR="00294343">
        <w:rPr>
          <w:color w:val="000000"/>
        </w:rPr>
        <w:t xml:space="preserve">jako </w:t>
      </w:r>
      <w:r w:rsidRPr="004361F4">
        <w:rPr>
          <w:b/>
          <w:i/>
          <w:color w:val="000000"/>
        </w:rPr>
        <w:t>„</w:t>
      </w:r>
      <w:r w:rsidR="003B3BEA">
        <w:rPr>
          <w:b/>
          <w:i/>
          <w:color w:val="000000"/>
        </w:rPr>
        <w:t>ÚSMH</w:t>
      </w:r>
      <w:r w:rsidRPr="004361F4">
        <w:rPr>
          <w:b/>
          <w:i/>
          <w:color w:val="000000"/>
        </w:rPr>
        <w:t>“</w:t>
      </w:r>
      <w:r>
        <w:rPr>
          <w:color w:val="000000"/>
        </w:rPr>
        <w:t>)</w:t>
      </w:r>
    </w:p>
    <w:p w14:paraId="24A0F7CA" w14:textId="77777777" w:rsidR="00294343" w:rsidRDefault="00294343">
      <w:pPr>
        <w:rPr>
          <w:color w:val="000000"/>
          <w:sz w:val="16"/>
        </w:rPr>
      </w:pPr>
    </w:p>
    <w:p w14:paraId="4E4ED8A6" w14:textId="77777777" w:rsidR="00294343" w:rsidRDefault="00294343">
      <w:pPr>
        <w:pStyle w:val="Rejstk"/>
        <w:suppressLineNumbers w:val="0"/>
        <w:rPr>
          <w:color w:val="000000"/>
        </w:rPr>
      </w:pPr>
      <w:r>
        <w:rPr>
          <w:color w:val="000000"/>
        </w:rPr>
        <w:t>a</w:t>
      </w:r>
    </w:p>
    <w:p w14:paraId="41DA3118" w14:textId="77777777" w:rsidR="00294343" w:rsidRDefault="00294343">
      <w:pPr>
        <w:rPr>
          <w:color w:val="000000"/>
          <w:sz w:val="16"/>
        </w:rPr>
      </w:pPr>
    </w:p>
    <w:p w14:paraId="6A9A48EC" w14:textId="28020B3E" w:rsidR="004361F4" w:rsidRDefault="004361F4" w:rsidP="004361F4">
      <w:pPr>
        <w:pStyle w:val="Rejstk"/>
        <w:rPr>
          <w:rFonts w:cs="Times New Roman"/>
          <w:b/>
          <w:bCs/>
          <w:color w:val="000000"/>
        </w:rPr>
      </w:pPr>
      <w:r w:rsidRPr="004361F4">
        <w:rPr>
          <w:rFonts w:cs="Times New Roman"/>
          <w:b/>
          <w:bCs/>
          <w:color w:val="000000"/>
        </w:rPr>
        <w:t xml:space="preserve">Masarykův </w:t>
      </w:r>
      <w:r>
        <w:rPr>
          <w:rFonts w:cs="Times New Roman"/>
          <w:b/>
          <w:bCs/>
          <w:color w:val="000000"/>
        </w:rPr>
        <w:t xml:space="preserve">ústav </w:t>
      </w:r>
      <w:r w:rsidR="00D7659D">
        <w:rPr>
          <w:rFonts w:cs="Times New Roman"/>
          <w:b/>
          <w:bCs/>
          <w:color w:val="000000"/>
        </w:rPr>
        <w:t>a</w:t>
      </w:r>
      <w:r>
        <w:rPr>
          <w:rFonts w:cs="Times New Roman"/>
          <w:b/>
          <w:bCs/>
          <w:color w:val="000000"/>
        </w:rPr>
        <w:t xml:space="preserve"> Archiv AV ČR, v. v. i.,</w:t>
      </w:r>
    </w:p>
    <w:p w14:paraId="3BEC7275" w14:textId="77777777" w:rsidR="004361F4" w:rsidRPr="004361F4" w:rsidRDefault="004361F4" w:rsidP="004361F4">
      <w:pPr>
        <w:pStyle w:val="Rejstk"/>
        <w:rPr>
          <w:rFonts w:cs="Times New Roman"/>
          <w:bCs/>
          <w:color w:val="000000"/>
        </w:rPr>
      </w:pPr>
      <w:r w:rsidRPr="004361F4">
        <w:rPr>
          <w:rFonts w:cs="Times New Roman"/>
          <w:bCs/>
          <w:color w:val="000000"/>
        </w:rPr>
        <w:t>IČ: 67985921</w:t>
      </w:r>
    </w:p>
    <w:p w14:paraId="78EFBB7B" w14:textId="77777777" w:rsidR="004361F4" w:rsidRPr="004361F4" w:rsidRDefault="004361F4" w:rsidP="004361F4">
      <w:pPr>
        <w:pStyle w:val="Rejstk"/>
        <w:rPr>
          <w:rFonts w:cs="Times New Roman"/>
          <w:bCs/>
          <w:color w:val="000000"/>
        </w:rPr>
      </w:pPr>
      <w:r w:rsidRPr="004361F4">
        <w:rPr>
          <w:rFonts w:cs="Times New Roman"/>
          <w:bCs/>
          <w:color w:val="000000"/>
        </w:rPr>
        <w:t>se sídlem: Gabčíkova 2362/10, 182 00 Praha 8</w:t>
      </w:r>
    </w:p>
    <w:p w14:paraId="1FF85ABE" w14:textId="77777777" w:rsidR="004361F4" w:rsidRPr="004361F4" w:rsidRDefault="009B7A70" w:rsidP="004361F4">
      <w:pPr>
        <w:pStyle w:val="Rejstk"/>
        <w:suppressLineNumbers w:val="0"/>
        <w:rPr>
          <w:rFonts w:cs="Times New Roman"/>
          <w:bCs/>
          <w:color w:val="000000"/>
        </w:rPr>
      </w:pPr>
      <w:r>
        <w:rPr>
          <w:rFonts w:cs="Times New Roman"/>
          <w:bCs/>
          <w:color w:val="000000"/>
        </w:rPr>
        <w:t>zastoupen</w:t>
      </w:r>
      <w:r w:rsidR="00140454">
        <w:rPr>
          <w:rFonts w:cs="Times New Roman"/>
          <w:bCs/>
          <w:color w:val="000000"/>
        </w:rPr>
        <w:t>: doc. Dr. Phil. Rudolf Kučera, Ph.D., ředitel</w:t>
      </w:r>
    </w:p>
    <w:p w14:paraId="15BDE4A5" w14:textId="77777777" w:rsidR="00294343" w:rsidRDefault="004361F4" w:rsidP="004361F4">
      <w:pPr>
        <w:pStyle w:val="Rejstk"/>
        <w:suppressLineNumbers w:val="0"/>
        <w:rPr>
          <w:color w:val="000000"/>
        </w:rPr>
      </w:pPr>
      <w:r>
        <w:rPr>
          <w:color w:val="000000"/>
        </w:rPr>
        <w:t xml:space="preserve">(dále jen </w:t>
      </w:r>
      <w:r w:rsidR="00294343">
        <w:rPr>
          <w:color w:val="000000"/>
        </w:rPr>
        <w:t xml:space="preserve">jako </w:t>
      </w:r>
      <w:r w:rsidRPr="004361F4">
        <w:rPr>
          <w:b/>
          <w:i/>
          <w:color w:val="000000"/>
        </w:rPr>
        <w:t>„</w:t>
      </w:r>
      <w:r w:rsidR="003B3BEA">
        <w:rPr>
          <w:b/>
          <w:i/>
          <w:color w:val="000000"/>
        </w:rPr>
        <w:t>MÚA</w:t>
      </w:r>
      <w:r w:rsidRPr="004361F4">
        <w:rPr>
          <w:b/>
          <w:i/>
          <w:color w:val="000000"/>
        </w:rPr>
        <w:t>“</w:t>
      </w:r>
      <w:r>
        <w:rPr>
          <w:color w:val="000000"/>
        </w:rPr>
        <w:t>)</w:t>
      </w:r>
      <w:r w:rsidR="00294343">
        <w:rPr>
          <w:color w:val="000000"/>
        </w:rPr>
        <w:t xml:space="preserve"> </w:t>
      </w:r>
    </w:p>
    <w:p w14:paraId="30F95B92" w14:textId="77777777" w:rsidR="00294343" w:rsidRDefault="00294343"/>
    <w:p w14:paraId="693AAA68" w14:textId="77777777" w:rsidR="00971E6F" w:rsidRDefault="004361F4">
      <w:r>
        <w:t>(s</w:t>
      </w:r>
      <w:r w:rsidR="00971E6F">
        <w:t xml:space="preserve">polečně rovněž jako </w:t>
      </w:r>
      <w:r w:rsidRPr="004361F4">
        <w:rPr>
          <w:b/>
          <w:i/>
        </w:rPr>
        <w:t>„</w:t>
      </w:r>
      <w:r w:rsidR="00971E6F" w:rsidRPr="004361F4">
        <w:rPr>
          <w:b/>
          <w:i/>
        </w:rPr>
        <w:t>smluvní strany</w:t>
      </w:r>
      <w:r w:rsidRPr="004361F4">
        <w:rPr>
          <w:b/>
          <w:i/>
        </w:rPr>
        <w:t>“</w:t>
      </w:r>
      <w:r>
        <w:t>)</w:t>
      </w:r>
    </w:p>
    <w:p w14:paraId="0AA844BB" w14:textId="77777777" w:rsidR="00F67FD9" w:rsidRDefault="00F67FD9"/>
    <w:p w14:paraId="74617174" w14:textId="7029E977" w:rsidR="00F67FD9" w:rsidRDefault="00F67FD9" w:rsidP="00F67FD9">
      <w:r>
        <w:t xml:space="preserve">Smluvní strany </w:t>
      </w:r>
      <w:r w:rsidR="00012935">
        <w:t>u</w:t>
      </w:r>
      <w:r>
        <w:t xml:space="preserve">zavřely níže uvedeného dne smlouvu o </w:t>
      </w:r>
      <w:r w:rsidR="002440FE">
        <w:t>odběru elektrické energie</w:t>
      </w:r>
      <w:r>
        <w:t xml:space="preserve"> </w:t>
      </w:r>
    </w:p>
    <w:p w14:paraId="594A5FD5" w14:textId="77777777" w:rsidR="00F67FD9" w:rsidRDefault="00F67FD9" w:rsidP="00F67FD9">
      <w:r>
        <w:t xml:space="preserve">(dále jen </w:t>
      </w:r>
      <w:r w:rsidRPr="009B7A70">
        <w:rPr>
          <w:b/>
          <w:i/>
        </w:rPr>
        <w:t>„smlouva“</w:t>
      </w:r>
      <w:r>
        <w:t>):</w:t>
      </w:r>
    </w:p>
    <w:p w14:paraId="154B4F6A" w14:textId="77777777" w:rsidR="00971E6F" w:rsidRDefault="00D77EDA" w:rsidP="00F67FD9">
      <w:r>
        <w:t xml:space="preserve"> </w:t>
      </w:r>
    </w:p>
    <w:p w14:paraId="0532519B" w14:textId="77777777" w:rsidR="00294343" w:rsidRDefault="00294343" w:rsidP="00386620">
      <w:pPr>
        <w:rPr>
          <w:b/>
        </w:rPr>
      </w:pPr>
    </w:p>
    <w:p w14:paraId="76714E58" w14:textId="77777777" w:rsidR="00F67FD9" w:rsidRDefault="00F67FD9">
      <w:pPr>
        <w:pStyle w:val="Nadpis2"/>
        <w:rPr>
          <w:b/>
        </w:rPr>
      </w:pPr>
      <w:r>
        <w:rPr>
          <w:b/>
        </w:rPr>
        <w:t xml:space="preserve">Článek I. </w:t>
      </w:r>
    </w:p>
    <w:p w14:paraId="73D77828" w14:textId="77777777" w:rsidR="00294343" w:rsidRDefault="00294343">
      <w:pPr>
        <w:pStyle w:val="Nadpis2"/>
        <w:rPr>
          <w:b/>
        </w:rPr>
      </w:pPr>
      <w:r>
        <w:rPr>
          <w:b/>
        </w:rPr>
        <w:t>Úvodní ustanovení</w:t>
      </w:r>
    </w:p>
    <w:p w14:paraId="2C298FD7" w14:textId="77777777" w:rsidR="00294343" w:rsidRDefault="00294343">
      <w:pPr>
        <w:pStyle w:val="Rejstk"/>
        <w:suppressLineNumbers w:val="0"/>
      </w:pPr>
    </w:p>
    <w:p w14:paraId="518007F1" w14:textId="77777777" w:rsidR="00651669" w:rsidRPr="00C759C6" w:rsidRDefault="003B3BEA" w:rsidP="00273365">
      <w:pPr>
        <w:numPr>
          <w:ilvl w:val="0"/>
          <w:numId w:val="4"/>
        </w:numPr>
        <w:tabs>
          <w:tab w:val="clear" w:pos="359"/>
          <w:tab w:val="left" w:pos="358"/>
        </w:tabs>
        <w:ind w:left="358" w:hanging="360"/>
        <w:jc w:val="both"/>
      </w:pPr>
      <w:r>
        <w:rPr>
          <w:color w:val="000000"/>
        </w:rPr>
        <w:t xml:space="preserve">ÚSMH </w:t>
      </w:r>
      <w:r w:rsidR="00294343" w:rsidRPr="002440FE">
        <w:rPr>
          <w:color w:val="000000"/>
        </w:rPr>
        <w:t xml:space="preserve">je výlučným vlastníkem areálu na adrese V Holešovičkách </w:t>
      </w:r>
      <w:r w:rsidR="00651669" w:rsidRPr="002440FE">
        <w:rPr>
          <w:color w:val="000000"/>
        </w:rPr>
        <w:t xml:space="preserve">94/41, </w:t>
      </w:r>
      <w:r w:rsidR="00366AA4" w:rsidRPr="002440FE">
        <w:rPr>
          <w:color w:val="000000"/>
        </w:rPr>
        <w:t xml:space="preserve">Praha 8, </w:t>
      </w:r>
      <w:r w:rsidR="00294343" w:rsidRPr="002440FE">
        <w:rPr>
          <w:color w:val="000000"/>
        </w:rPr>
        <w:t>který se nachází na pozemcích parcelní č. 1176/1,</w:t>
      </w:r>
      <w:r w:rsidR="00BE66A2" w:rsidRPr="002440FE">
        <w:rPr>
          <w:color w:val="000000"/>
        </w:rPr>
        <w:t xml:space="preserve"> </w:t>
      </w:r>
      <w:r w:rsidR="00294343" w:rsidRPr="002440FE">
        <w:rPr>
          <w:color w:val="000000"/>
        </w:rPr>
        <w:t>1176/4,</w:t>
      </w:r>
      <w:r w:rsidR="00BE66A2" w:rsidRPr="002440FE">
        <w:rPr>
          <w:color w:val="000000"/>
        </w:rPr>
        <w:t xml:space="preserve"> </w:t>
      </w:r>
      <w:r w:rsidR="00294343" w:rsidRPr="002440FE">
        <w:rPr>
          <w:color w:val="000000"/>
        </w:rPr>
        <w:t>1176/5, 1177 a 1178</w:t>
      </w:r>
      <w:r w:rsidR="00366AA4" w:rsidRPr="002440FE">
        <w:rPr>
          <w:color w:val="000000"/>
        </w:rPr>
        <w:t>, vše zapsáno</w:t>
      </w:r>
      <w:r w:rsidR="00294343" w:rsidRPr="002440FE">
        <w:rPr>
          <w:color w:val="000000"/>
        </w:rPr>
        <w:t xml:space="preserve"> na listě vlastnictví č. 2010</w:t>
      </w:r>
      <w:r w:rsidR="00E84A49" w:rsidRPr="002440FE">
        <w:rPr>
          <w:color w:val="000000"/>
        </w:rPr>
        <w:t xml:space="preserve"> vedeného</w:t>
      </w:r>
      <w:r w:rsidR="00294343" w:rsidRPr="002440FE">
        <w:rPr>
          <w:color w:val="000000"/>
        </w:rPr>
        <w:t xml:space="preserve"> u </w:t>
      </w:r>
      <w:r w:rsidR="00E84A49" w:rsidRPr="002440FE">
        <w:rPr>
          <w:color w:val="000000"/>
        </w:rPr>
        <w:t xml:space="preserve">Katastrálního úřadu pro hlavní město Prahu, </w:t>
      </w:r>
      <w:r w:rsidR="00294343" w:rsidRPr="002440FE">
        <w:rPr>
          <w:color w:val="000000"/>
        </w:rPr>
        <w:t xml:space="preserve">Katastrálního </w:t>
      </w:r>
      <w:r w:rsidR="00114685" w:rsidRPr="002440FE">
        <w:rPr>
          <w:color w:val="000000"/>
        </w:rPr>
        <w:t>pracoviště</w:t>
      </w:r>
      <w:r w:rsidR="00294343" w:rsidRPr="002440FE">
        <w:rPr>
          <w:color w:val="000000"/>
        </w:rPr>
        <w:t xml:space="preserve"> Praha</w:t>
      </w:r>
      <w:r w:rsidR="00E84A49" w:rsidRPr="002440FE">
        <w:rPr>
          <w:color w:val="000000"/>
        </w:rPr>
        <w:t>,</w:t>
      </w:r>
      <w:r w:rsidR="00294343" w:rsidRPr="002440FE">
        <w:rPr>
          <w:color w:val="000000"/>
        </w:rPr>
        <w:t xml:space="preserve"> pro obec Pra</w:t>
      </w:r>
      <w:r w:rsidR="00BE66A2" w:rsidRPr="002440FE">
        <w:rPr>
          <w:color w:val="000000"/>
        </w:rPr>
        <w:t>ha</w:t>
      </w:r>
      <w:r w:rsidR="006D0977" w:rsidRPr="002440FE">
        <w:rPr>
          <w:color w:val="000000"/>
        </w:rPr>
        <w:t xml:space="preserve">, </w:t>
      </w:r>
      <w:r w:rsidR="00FF7F78" w:rsidRPr="002440FE">
        <w:rPr>
          <w:color w:val="000000"/>
        </w:rPr>
        <w:t xml:space="preserve">pro </w:t>
      </w:r>
      <w:r w:rsidR="006D0977" w:rsidRPr="002440FE">
        <w:rPr>
          <w:color w:val="000000"/>
        </w:rPr>
        <w:t>katastrální území Libeň</w:t>
      </w:r>
      <w:r w:rsidR="00C759C6">
        <w:rPr>
          <w:color w:val="000000"/>
        </w:rPr>
        <w:t xml:space="preserve"> (dále jen „</w:t>
      </w:r>
      <w:r w:rsidR="00C759C6" w:rsidRPr="00C759C6">
        <w:rPr>
          <w:b/>
          <w:bCs/>
          <w:color w:val="000000"/>
        </w:rPr>
        <w:t>areál ÚSMH</w:t>
      </w:r>
      <w:r w:rsidR="00C759C6">
        <w:rPr>
          <w:color w:val="000000"/>
        </w:rPr>
        <w:t>“)</w:t>
      </w:r>
      <w:r>
        <w:rPr>
          <w:color w:val="000000"/>
        </w:rPr>
        <w:t>, kde je umístěn hlavní elektrický rozvaděč č. TS: 316, EAN:859182400300027733</w:t>
      </w:r>
      <w:r w:rsidR="00065590">
        <w:rPr>
          <w:color w:val="000000"/>
        </w:rPr>
        <w:t xml:space="preserve">; tento rozvaděč je </w:t>
      </w:r>
      <w:r w:rsidR="003C756B">
        <w:rPr>
          <w:color w:val="000000"/>
        </w:rPr>
        <w:t>připojovacím</w:t>
      </w:r>
      <w:r w:rsidR="002251D1">
        <w:rPr>
          <w:color w:val="000000"/>
        </w:rPr>
        <w:t xml:space="preserve"> místem k distribuční soustavě elektřiny provozované společností </w:t>
      </w:r>
      <w:proofErr w:type="spellStart"/>
      <w:r w:rsidR="002251D1">
        <w:rPr>
          <w:color w:val="000000"/>
        </w:rPr>
        <w:t>PREdistribuce</w:t>
      </w:r>
      <w:proofErr w:type="spellEnd"/>
      <w:r w:rsidR="002251D1">
        <w:rPr>
          <w:color w:val="000000"/>
        </w:rPr>
        <w:t>, a.s</w:t>
      </w:r>
      <w:r>
        <w:rPr>
          <w:color w:val="000000"/>
        </w:rPr>
        <w:t>.</w:t>
      </w:r>
      <w:r w:rsidR="0088016E">
        <w:rPr>
          <w:color w:val="000000"/>
        </w:rPr>
        <w:t xml:space="preserve"> </w:t>
      </w:r>
      <w:r w:rsidR="0088016E">
        <w:rPr>
          <w:iCs/>
        </w:rPr>
        <w:t>Prostřednictvím výše zmíněného odběrného místa ve vlastnictví ÚSMH dochází k dodávkám elektrické energie dodávaná z distribuční soustavy pro ÚSMH i MÚA (dále jen „</w:t>
      </w:r>
      <w:r w:rsidR="0088016E" w:rsidRPr="00C3478C">
        <w:rPr>
          <w:b/>
          <w:bCs/>
          <w:iCs/>
        </w:rPr>
        <w:t>dodávky z DS</w:t>
      </w:r>
      <w:r w:rsidR="0088016E">
        <w:rPr>
          <w:iCs/>
        </w:rPr>
        <w:t>“).</w:t>
      </w:r>
    </w:p>
    <w:p w14:paraId="37BD846A" w14:textId="77777777" w:rsidR="00C759C6" w:rsidRPr="00080F41" w:rsidRDefault="00C759C6" w:rsidP="00C759C6">
      <w:pPr>
        <w:ind w:left="358"/>
        <w:jc w:val="both"/>
      </w:pPr>
    </w:p>
    <w:p w14:paraId="029A05CC" w14:textId="52B76D34" w:rsidR="00DD718E" w:rsidRPr="00BE7C78" w:rsidRDefault="00080F41" w:rsidP="0000035A">
      <w:pPr>
        <w:numPr>
          <w:ilvl w:val="0"/>
          <w:numId w:val="4"/>
        </w:numPr>
        <w:tabs>
          <w:tab w:val="clear" w:pos="359"/>
          <w:tab w:val="left" w:pos="358"/>
        </w:tabs>
        <w:ind w:left="358" w:hanging="360"/>
        <w:jc w:val="both"/>
      </w:pPr>
      <w:r>
        <w:rPr>
          <w:color w:val="000000"/>
        </w:rPr>
        <w:t xml:space="preserve">MÚA je výlučným vlastníkem </w:t>
      </w:r>
      <w:r w:rsidR="00C759C6" w:rsidRPr="00C759C6">
        <w:rPr>
          <w:color w:val="000000"/>
        </w:rPr>
        <w:t xml:space="preserve">pozemku </w:t>
      </w:r>
      <w:proofErr w:type="spellStart"/>
      <w:r w:rsidR="00C759C6" w:rsidRPr="00C759C6">
        <w:rPr>
          <w:color w:val="000000"/>
        </w:rPr>
        <w:t>parc</w:t>
      </w:r>
      <w:proofErr w:type="spellEnd"/>
      <w:r w:rsidR="00C759C6" w:rsidRPr="00C759C6">
        <w:rPr>
          <w:color w:val="000000"/>
        </w:rPr>
        <w:t>. č. 1176/2, jehož součástí je stavba č.p. 2362</w:t>
      </w:r>
      <w:r w:rsidR="00C759C6">
        <w:rPr>
          <w:color w:val="000000"/>
        </w:rPr>
        <w:t xml:space="preserve"> (dále jen „</w:t>
      </w:r>
      <w:r w:rsidR="00C759C6" w:rsidRPr="00C759C6">
        <w:rPr>
          <w:b/>
          <w:bCs/>
          <w:color w:val="000000"/>
        </w:rPr>
        <w:t>budova MÚA</w:t>
      </w:r>
      <w:r w:rsidR="00C759C6">
        <w:rPr>
          <w:color w:val="000000"/>
        </w:rPr>
        <w:t>“)</w:t>
      </w:r>
      <w:r w:rsidR="00C759C6" w:rsidRPr="00C759C6">
        <w:rPr>
          <w:color w:val="000000"/>
        </w:rPr>
        <w:t>, vše zapsáno na listě vlastnictví č. 9040 vedeného u Katastrálního úřadu pro hlavní město Prahu, Katastrálního pracoviště Praha, pro obec Praha, pro katastrální území Libeň.</w:t>
      </w:r>
      <w:r w:rsidR="003C756B">
        <w:rPr>
          <w:color w:val="000000"/>
        </w:rPr>
        <w:t xml:space="preserve"> Budova MÚA nemá vlastní připojovací/odběrné místo a je k distribuční soustavě připojena prostřednictvím výše zmíněného rozvaděče v areálu ÚSMH</w:t>
      </w:r>
      <w:r w:rsidR="0000035A">
        <w:rPr>
          <w:color w:val="000000"/>
        </w:rPr>
        <w:t xml:space="preserve"> a </w:t>
      </w:r>
      <w:r w:rsidR="00DD718E" w:rsidRPr="0000035A">
        <w:rPr>
          <w:szCs w:val="21"/>
        </w:rPr>
        <w:t xml:space="preserve">přes podružný elektroměr </w:t>
      </w:r>
      <w:r w:rsidR="0000035A">
        <w:rPr>
          <w:szCs w:val="21"/>
        </w:rPr>
        <w:t>definovaný níže. S</w:t>
      </w:r>
      <w:r w:rsidR="00DD718E" w:rsidRPr="0000035A">
        <w:rPr>
          <w:szCs w:val="21"/>
        </w:rPr>
        <w:t>mluvní strany</w:t>
      </w:r>
      <w:r w:rsidR="0000035A">
        <w:rPr>
          <w:szCs w:val="21"/>
        </w:rPr>
        <w:t xml:space="preserve"> proto</w:t>
      </w:r>
      <w:r w:rsidR="00DD718E" w:rsidRPr="0000035A">
        <w:rPr>
          <w:szCs w:val="21"/>
        </w:rPr>
        <w:t xml:space="preserve"> prohlašují, že</w:t>
      </w:r>
      <w:r w:rsidR="00AF58D8" w:rsidRPr="0000035A">
        <w:rPr>
          <w:szCs w:val="21"/>
        </w:rPr>
        <w:t xml:space="preserve"> je</w:t>
      </w:r>
      <w:r w:rsidR="00DD718E" w:rsidRPr="0000035A">
        <w:rPr>
          <w:szCs w:val="21"/>
        </w:rPr>
        <w:t xml:space="preserve"> jejich společným zájmem upravit touto smlouvou vztahy v souvislosti s poskytováním a odběrem elektrické energie.</w:t>
      </w:r>
    </w:p>
    <w:p w14:paraId="60ECEC70" w14:textId="77777777" w:rsidR="00294343" w:rsidRPr="00BE7C78" w:rsidRDefault="00294343" w:rsidP="00DD718E">
      <w:pPr>
        <w:ind w:left="284"/>
        <w:jc w:val="both"/>
      </w:pPr>
    </w:p>
    <w:p w14:paraId="7C375D06" w14:textId="77777777" w:rsidR="00F67FD9" w:rsidRPr="00BE7C78" w:rsidRDefault="00F67FD9">
      <w:pPr>
        <w:pStyle w:val="Nadpis2"/>
        <w:rPr>
          <w:b/>
        </w:rPr>
      </w:pPr>
      <w:r w:rsidRPr="00BE7C78">
        <w:rPr>
          <w:b/>
        </w:rPr>
        <w:t>Článek II.</w:t>
      </w:r>
    </w:p>
    <w:p w14:paraId="72F8B54C" w14:textId="77777777" w:rsidR="00294343" w:rsidRPr="00BE7C78" w:rsidRDefault="00294343">
      <w:pPr>
        <w:pStyle w:val="Nadpis2"/>
        <w:rPr>
          <w:b/>
        </w:rPr>
      </w:pPr>
      <w:r w:rsidRPr="00BE7C78">
        <w:rPr>
          <w:b/>
        </w:rPr>
        <w:t>Předmět smlouvy</w:t>
      </w:r>
    </w:p>
    <w:p w14:paraId="4A502A35" w14:textId="77777777" w:rsidR="00294343" w:rsidRPr="00BE7C78" w:rsidRDefault="00294343">
      <w:pPr>
        <w:pStyle w:val="Seznam"/>
        <w:rPr>
          <w:szCs w:val="24"/>
        </w:rPr>
      </w:pPr>
    </w:p>
    <w:p w14:paraId="00700801" w14:textId="58C5386B" w:rsidR="00A62B1A" w:rsidRPr="00AF74A9" w:rsidRDefault="00A62B1A" w:rsidP="00AF74A9">
      <w:pPr>
        <w:rPr>
          <w:sz w:val="22"/>
          <w:szCs w:val="22"/>
          <w:lang w:eastAsia="en-US"/>
        </w:rPr>
      </w:pPr>
      <w:r>
        <w:t xml:space="preserve">Předmětem této smlouvy jsou obchodní a technické podmínky dodávky a přeúčtování elektrické energie v napěťové soustavě NN z rozvodného zařízení a zajištění odběru elektrické energie pro MÚA přes </w:t>
      </w:r>
      <w:r w:rsidRPr="00381191">
        <w:t>elektroměr budovy M</w:t>
      </w:r>
      <w:r w:rsidR="00B26830">
        <w:t xml:space="preserve"> (elektroměr č.</w:t>
      </w:r>
      <w:r w:rsidR="00B26830" w:rsidRPr="00B26830">
        <w:t xml:space="preserve"> </w:t>
      </w:r>
      <w:r w:rsidR="00B26830">
        <w:t>No: 489 49</w:t>
      </w:r>
      <w:r w:rsidR="00AF74A9">
        <w:t> </w:t>
      </w:r>
      <w:r w:rsidR="00B26830">
        <w:t>571</w:t>
      </w:r>
      <w:r w:rsidR="00AF74A9">
        <w:rPr>
          <w:sz w:val="22"/>
          <w:szCs w:val="22"/>
          <w:lang w:eastAsia="en-US"/>
        </w:rPr>
        <w:t>)</w:t>
      </w:r>
      <w:r w:rsidRPr="00381191">
        <w:t xml:space="preserve"> a podružné elektroměry archivů I</w:t>
      </w:r>
      <w:r w:rsidR="00AF74A9">
        <w:t xml:space="preserve">-depozitář v 1. NP budovy B (elektroměr č. No: 13 50 78); </w:t>
      </w:r>
      <w:r w:rsidR="00AF74A9">
        <w:lastRenderedPageBreak/>
        <w:t xml:space="preserve">archiv </w:t>
      </w:r>
      <w:r w:rsidRPr="00381191">
        <w:t>II</w:t>
      </w:r>
      <w:r w:rsidR="00AF74A9">
        <w:t xml:space="preserve">-depozitář ve 2. NP budovy B (elektroměr č. SDM </w:t>
      </w:r>
      <w:proofErr w:type="gramStart"/>
      <w:r w:rsidR="00AF74A9">
        <w:t>72D</w:t>
      </w:r>
      <w:proofErr w:type="gramEnd"/>
      <w:r w:rsidR="00AF74A9">
        <w:t xml:space="preserve">) a kanceláře ve 4. NP budovy </w:t>
      </w:r>
      <w:proofErr w:type="spellStart"/>
      <w:r w:rsidR="00AF74A9">
        <w:t>Ct</w:t>
      </w:r>
      <w:proofErr w:type="spellEnd"/>
      <w:r w:rsidR="00AF74A9">
        <w:t>. (elektroměr č. DTS – 353</w:t>
      </w:r>
      <w:r w:rsidR="00AF74A9">
        <w:rPr>
          <w:sz w:val="22"/>
          <w:szCs w:val="22"/>
          <w:lang w:eastAsia="en-US"/>
        </w:rPr>
        <w:t>)</w:t>
      </w:r>
      <w:r w:rsidR="00AF74A9">
        <w:t xml:space="preserve"> </w:t>
      </w:r>
      <w:r w:rsidRPr="00381191">
        <w:t>v areálu ÚSMH (dále jen „</w:t>
      </w:r>
      <w:r w:rsidRPr="00381191">
        <w:rPr>
          <w:b/>
          <w:bCs/>
        </w:rPr>
        <w:t>Podružný elektroměr</w:t>
      </w:r>
      <w:r w:rsidRPr="00381191">
        <w:t>“).</w:t>
      </w:r>
    </w:p>
    <w:p w14:paraId="64EFAC2F" w14:textId="77777777" w:rsidR="00F332BB" w:rsidRDefault="00F332BB" w:rsidP="00F332BB">
      <w:pPr>
        <w:ind w:left="360"/>
        <w:jc w:val="both"/>
      </w:pPr>
    </w:p>
    <w:p w14:paraId="6D1AFABE" w14:textId="77777777" w:rsidR="004237F5" w:rsidRPr="00320000" w:rsidRDefault="004237F5" w:rsidP="00386620">
      <w:pPr>
        <w:jc w:val="both"/>
      </w:pPr>
    </w:p>
    <w:p w14:paraId="3F123E6A" w14:textId="77777777" w:rsidR="00EB2FD0" w:rsidRPr="00BE7C78" w:rsidRDefault="00EB2FD0" w:rsidP="00EB2FD0">
      <w:pPr>
        <w:pStyle w:val="Nadpis2"/>
        <w:rPr>
          <w:b/>
        </w:rPr>
      </w:pPr>
      <w:r w:rsidRPr="00BE7C78">
        <w:rPr>
          <w:b/>
        </w:rPr>
        <w:t>Článek II</w:t>
      </w:r>
      <w:r>
        <w:rPr>
          <w:b/>
        </w:rPr>
        <w:t>I</w:t>
      </w:r>
      <w:r w:rsidRPr="00BE7C78">
        <w:rPr>
          <w:b/>
        </w:rPr>
        <w:t>.</w:t>
      </w:r>
    </w:p>
    <w:p w14:paraId="39F137DC" w14:textId="77777777" w:rsidR="00EB2FD0" w:rsidRDefault="00CA76A4" w:rsidP="00EB2FD0">
      <w:pPr>
        <w:pStyle w:val="Nadpis2"/>
        <w:rPr>
          <w:b/>
        </w:rPr>
      </w:pPr>
      <w:r>
        <w:rPr>
          <w:b/>
        </w:rPr>
        <w:t> Dodávky elektřiny</w:t>
      </w:r>
    </w:p>
    <w:p w14:paraId="75F8B41B" w14:textId="77777777" w:rsidR="00EB2FD0" w:rsidRPr="00EB2FD0" w:rsidRDefault="00EB2FD0" w:rsidP="00EB2FD0"/>
    <w:p w14:paraId="1D790F05" w14:textId="040CE6E5" w:rsidR="00DD718E" w:rsidRDefault="006C5496" w:rsidP="002F4C88">
      <w:pPr>
        <w:numPr>
          <w:ilvl w:val="0"/>
          <w:numId w:val="30"/>
        </w:numPr>
        <w:tabs>
          <w:tab w:val="left" w:pos="360"/>
        </w:tabs>
        <w:jc w:val="both"/>
      </w:pPr>
      <w:r>
        <w:t>ÚSMH se zavazuje dodávat MÚA elektrickou energii, odebíranou z distribuční sítě přes své odběrné místo</w:t>
      </w:r>
      <w:r w:rsidR="00DD718E">
        <w:t>.</w:t>
      </w:r>
    </w:p>
    <w:p w14:paraId="777B97F3" w14:textId="77777777" w:rsidR="00EB2FD0" w:rsidRDefault="00EB2FD0" w:rsidP="00EB2FD0">
      <w:pPr>
        <w:jc w:val="both"/>
        <w:rPr>
          <w:iCs/>
        </w:rPr>
      </w:pPr>
    </w:p>
    <w:p w14:paraId="5B813BE3" w14:textId="4559A96E" w:rsidR="00EB2FD0" w:rsidRDefault="00EB2FD0" w:rsidP="002C21CD">
      <w:pPr>
        <w:numPr>
          <w:ilvl w:val="0"/>
          <w:numId w:val="30"/>
        </w:numPr>
        <w:tabs>
          <w:tab w:val="left" w:pos="360"/>
        </w:tabs>
        <w:jc w:val="both"/>
        <w:rPr>
          <w:iCs/>
        </w:rPr>
      </w:pPr>
      <w:r>
        <w:rPr>
          <w:iCs/>
        </w:rPr>
        <w:t>Celková měsíční spotřeba elektrické energie</w:t>
      </w:r>
      <w:r w:rsidR="00C3478C">
        <w:rPr>
          <w:iCs/>
        </w:rPr>
        <w:t xml:space="preserve"> ze strany MÚA bud</w:t>
      </w:r>
      <w:r w:rsidR="00EC3137">
        <w:rPr>
          <w:iCs/>
        </w:rPr>
        <w:t>e</w:t>
      </w:r>
      <w:r w:rsidR="00C3478C">
        <w:rPr>
          <w:iCs/>
        </w:rPr>
        <w:t xml:space="preserve"> zaznamenáván</w:t>
      </w:r>
      <w:r w:rsidR="00EC3137">
        <w:rPr>
          <w:iCs/>
        </w:rPr>
        <w:t>a</w:t>
      </w:r>
      <w:r w:rsidR="00C3478C">
        <w:rPr>
          <w:iCs/>
        </w:rPr>
        <w:t xml:space="preserve"> </w:t>
      </w:r>
      <w:r w:rsidR="00514740">
        <w:rPr>
          <w:iCs/>
        </w:rPr>
        <w:t>P</w:t>
      </w:r>
      <w:r w:rsidR="00C3478C">
        <w:rPr>
          <w:iCs/>
        </w:rPr>
        <w:t>odružným elektroměrem</w:t>
      </w:r>
      <w:r>
        <w:rPr>
          <w:iCs/>
        </w:rPr>
        <w:t xml:space="preserve">. </w:t>
      </w:r>
    </w:p>
    <w:p w14:paraId="07E361FD" w14:textId="77777777" w:rsidR="00CA76A4" w:rsidRDefault="00CA76A4" w:rsidP="00CA76A4">
      <w:pPr>
        <w:pStyle w:val="Odstavecseseznamem"/>
        <w:rPr>
          <w:iCs/>
        </w:rPr>
      </w:pPr>
    </w:p>
    <w:p w14:paraId="3932D751" w14:textId="77777777" w:rsidR="00CA76A4" w:rsidRDefault="00CA76A4" w:rsidP="002C21CD">
      <w:pPr>
        <w:numPr>
          <w:ilvl w:val="0"/>
          <w:numId w:val="30"/>
        </w:numPr>
        <w:tabs>
          <w:tab w:val="left" w:pos="360"/>
        </w:tabs>
        <w:jc w:val="both"/>
        <w:rPr>
          <w:iCs/>
        </w:rPr>
      </w:pPr>
      <w:r>
        <w:t xml:space="preserve">Smluvní strany se zavazují zaznamenat v den nabytí účinnosti této smlouvy počáteční stav </w:t>
      </w:r>
      <w:r w:rsidR="00514740">
        <w:t>P</w:t>
      </w:r>
      <w:r>
        <w:t>odružného elektroměru.</w:t>
      </w:r>
    </w:p>
    <w:p w14:paraId="6E7AFEF0" w14:textId="77777777" w:rsidR="00CA76A4" w:rsidRDefault="00CA76A4" w:rsidP="00514740">
      <w:pPr>
        <w:pStyle w:val="Odstavecseseznamem"/>
        <w:ind w:left="0"/>
        <w:rPr>
          <w:iCs/>
        </w:rPr>
      </w:pPr>
    </w:p>
    <w:p w14:paraId="7F932615" w14:textId="57AD9259" w:rsidR="00CA76A4" w:rsidRDefault="00CA76A4" w:rsidP="00CA76A4">
      <w:pPr>
        <w:numPr>
          <w:ilvl w:val="0"/>
          <w:numId w:val="30"/>
        </w:numPr>
        <w:tabs>
          <w:tab w:val="left" w:pos="360"/>
        </w:tabs>
        <w:jc w:val="both"/>
        <w:rPr>
          <w:szCs w:val="20"/>
          <w:lang w:eastAsia="cs-CZ"/>
        </w:rPr>
      </w:pPr>
      <w:r>
        <w:rPr>
          <w:iCs/>
        </w:rPr>
        <w:t>ÚSMH</w:t>
      </w:r>
      <w:r>
        <w:t xml:space="preserve"> může </w:t>
      </w:r>
      <w:r w:rsidR="00AB38BB">
        <w:t xml:space="preserve">na nezbytně nutnou dobu </w:t>
      </w:r>
      <w:r>
        <w:t>snížit či zastavit dodávky z DS</w:t>
      </w:r>
      <w:r w:rsidR="00A6112B">
        <w:t xml:space="preserve"> </w:t>
      </w:r>
      <w:r w:rsidR="009412B2">
        <w:t xml:space="preserve">pouze z následujících </w:t>
      </w:r>
      <w:r w:rsidR="00A6112B">
        <w:t>důvodů</w:t>
      </w:r>
      <w:r>
        <w:t>:</w:t>
      </w:r>
    </w:p>
    <w:p w14:paraId="4B28FF38" w14:textId="77777777" w:rsidR="00CA76A4" w:rsidRDefault="00CA76A4" w:rsidP="00CA76A4">
      <w:pPr>
        <w:numPr>
          <w:ilvl w:val="0"/>
          <w:numId w:val="35"/>
        </w:numPr>
        <w:suppressAutoHyphens w:val="0"/>
        <w:ind w:left="709"/>
      </w:pPr>
      <w:r>
        <w:t>při havárii, která zásadně omezuje či znemožňuje realizaci dodávek z DS;</w:t>
      </w:r>
    </w:p>
    <w:p w14:paraId="7ED3F077" w14:textId="0A152DBD" w:rsidR="00CA76A4" w:rsidRDefault="00CA76A4" w:rsidP="00CA76A4">
      <w:pPr>
        <w:numPr>
          <w:ilvl w:val="0"/>
          <w:numId w:val="35"/>
        </w:numPr>
        <w:suppressAutoHyphens w:val="0"/>
        <w:ind w:left="709"/>
      </w:pPr>
      <w:r>
        <w:t xml:space="preserve">při omezení či zastavení dodávek z distribuční soustavy </w:t>
      </w:r>
      <w:r>
        <w:rPr>
          <w:color w:val="000000"/>
        </w:rPr>
        <w:t xml:space="preserve">provozované společností </w:t>
      </w:r>
      <w:proofErr w:type="spellStart"/>
      <w:r>
        <w:rPr>
          <w:color w:val="000000"/>
        </w:rPr>
        <w:t>PREdistribuce</w:t>
      </w:r>
      <w:proofErr w:type="spellEnd"/>
      <w:r>
        <w:rPr>
          <w:color w:val="000000"/>
        </w:rPr>
        <w:t>, a.s.</w:t>
      </w:r>
      <w:r w:rsidR="00514740">
        <w:rPr>
          <w:color w:val="000000"/>
        </w:rPr>
        <w:t xml:space="preserve">; </w:t>
      </w:r>
    </w:p>
    <w:p w14:paraId="23BCFF5E" w14:textId="77777777" w:rsidR="00CA76A4" w:rsidRDefault="00CA76A4" w:rsidP="00CA76A4">
      <w:pPr>
        <w:numPr>
          <w:ilvl w:val="0"/>
          <w:numId w:val="35"/>
        </w:numPr>
        <w:suppressAutoHyphens w:val="0"/>
        <w:ind w:left="709"/>
      </w:pPr>
      <w:r>
        <w:t>při nutných opravách nebo servisních zásazích do zařízení ÚSMH zajišťujících realizaci dodávek z DS.</w:t>
      </w:r>
    </w:p>
    <w:p w14:paraId="23997964" w14:textId="77777777" w:rsidR="006161A9" w:rsidRDefault="006161A9" w:rsidP="006161A9">
      <w:pPr>
        <w:ind w:left="340"/>
        <w:jc w:val="both"/>
      </w:pPr>
    </w:p>
    <w:p w14:paraId="51D2AA0C" w14:textId="6C5A73AB" w:rsidR="006161A9" w:rsidRPr="00CA76A4" w:rsidRDefault="006161A9" w:rsidP="006161A9">
      <w:pPr>
        <w:numPr>
          <w:ilvl w:val="0"/>
          <w:numId w:val="30"/>
        </w:numPr>
        <w:tabs>
          <w:tab w:val="left" w:pos="360"/>
        </w:tabs>
        <w:jc w:val="both"/>
      </w:pPr>
      <w:r>
        <w:t>ÚSMH je povinen informovat MÚA bez zbytečného odkladu o důvodech pro omezení či zastavení dodávek elektrické energie a odhadované době trvání takové snížení či zastavení dodávek elektrické energie.</w:t>
      </w:r>
    </w:p>
    <w:p w14:paraId="19D27B75" w14:textId="77777777" w:rsidR="00EB2FD0" w:rsidRPr="00320000" w:rsidRDefault="00EB2FD0" w:rsidP="00320000"/>
    <w:p w14:paraId="3AD6FCF7" w14:textId="77777777" w:rsidR="00F67FD9" w:rsidRDefault="00F67FD9">
      <w:pPr>
        <w:pStyle w:val="Nadpis5"/>
      </w:pPr>
      <w:r>
        <w:t>Článek I</w:t>
      </w:r>
      <w:r w:rsidR="00EB2FD0">
        <w:t>V</w:t>
      </w:r>
      <w:r>
        <w:t>.</w:t>
      </w:r>
    </w:p>
    <w:p w14:paraId="64B351D1" w14:textId="77777777" w:rsidR="00294343" w:rsidRDefault="00553487">
      <w:pPr>
        <w:pStyle w:val="Nadpis5"/>
      </w:pPr>
      <w:r>
        <w:t>Úhrada nákladů</w:t>
      </w:r>
    </w:p>
    <w:p w14:paraId="4E56A0B5" w14:textId="77777777" w:rsidR="00294343" w:rsidRPr="003A7354" w:rsidRDefault="00294343">
      <w:pPr>
        <w:rPr>
          <w:color w:val="4472C4"/>
        </w:rPr>
      </w:pPr>
    </w:p>
    <w:p w14:paraId="6C601B2A" w14:textId="62C225CE" w:rsidR="00514740" w:rsidRPr="00381191" w:rsidRDefault="00EB2FD0" w:rsidP="002C21CD">
      <w:pPr>
        <w:numPr>
          <w:ilvl w:val="0"/>
          <w:numId w:val="33"/>
        </w:numPr>
        <w:jc w:val="both"/>
      </w:pPr>
      <w:bookmarkStart w:id="0" w:name="_Hlk180057946"/>
      <w:r w:rsidRPr="00381191">
        <w:rPr>
          <w:iCs/>
        </w:rPr>
        <w:t>Úhrada</w:t>
      </w:r>
      <w:r w:rsidR="00C3478C" w:rsidRPr="00381191">
        <w:rPr>
          <w:iCs/>
        </w:rPr>
        <w:t xml:space="preserve"> MÚA za</w:t>
      </w:r>
      <w:r w:rsidRPr="00381191">
        <w:rPr>
          <w:iCs/>
        </w:rPr>
        <w:t xml:space="preserve"> </w:t>
      </w:r>
      <w:r w:rsidR="003B3BEA" w:rsidRPr="00381191">
        <w:rPr>
          <w:iCs/>
        </w:rPr>
        <w:t>spotřeb</w:t>
      </w:r>
      <w:r w:rsidR="00C3478C" w:rsidRPr="00381191">
        <w:rPr>
          <w:iCs/>
        </w:rPr>
        <w:t>u elektřiny z dodávek z DS</w:t>
      </w:r>
      <w:r w:rsidRPr="00381191">
        <w:rPr>
          <w:iCs/>
        </w:rPr>
        <w:t xml:space="preserve"> </w:t>
      </w:r>
      <w:r w:rsidR="0088016E" w:rsidRPr="00381191">
        <w:rPr>
          <w:iCs/>
        </w:rPr>
        <w:t>(dále jen „</w:t>
      </w:r>
      <w:r w:rsidR="0088016E" w:rsidRPr="00381191">
        <w:rPr>
          <w:b/>
          <w:bCs/>
          <w:iCs/>
        </w:rPr>
        <w:t>Úhrada</w:t>
      </w:r>
      <w:r w:rsidR="0088016E" w:rsidRPr="00381191">
        <w:rPr>
          <w:iCs/>
        </w:rPr>
        <w:t xml:space="preserve">“) </w:t>
      </w:r>
      <w:r w:rsidR="003B3BEA" w:rsidRPr="00381191">
        <w:rPr>
          <w:iCs/>
        </w:rPr>
        <w:t>bude</w:t>
      </w:r>
      <w:r w:rsidR="00CF00DF" w:rsidRPr="00381191">
        <w:rPr>
          <w:iCs/>
        </w:rPr>
        <w:t>:</w:t>
      </w:r>
    </w:p>
    <w:p w14:paraId="3DFF0B2D" w14:textId="25051CAA" w:rsidR="00F329A7" w:rsidRPr="00381191" w:rsidRDefault="00F329A7" w:rsidP="00F329A7">
      <w:pPr>
        <w:ind w:left="340"/>
        <w:jc w:val="both"/>
      </w:pPr>
      <w:r w:rsidRPr="00381191">
        <w:t xml:space="preserve">Úhrada </w:t>
      </w:r>
      <w:r w:rsidR="00DA1D58" w:rsidRPr="00381191">
        <w:t xml:space="preserve">MÚA </w:t>
      </w:r>
      <w:r w:rsidRPr="00381191">
        <w:t xml:space="preserve">= spotřeba MÚA * </w:t>
      </w:r>
      <w:r w:rsidR="0000035A">
        <w:t xml:space="preserve">jednotková </w:t>
      </w:r>
      <w:r w:rsidRPr="00381191">
        <w:t>cena dodávek z DS</w:t>
      </w:r>
    </w:p>
    <w:p w14:paraId="7C5C8CFE" w14:textId="77777777" w:rsidR="00DA1D58" w:rsidRPr="00381191" w:rsidRDefault="00DA1D58" w:rsidP="00F329A7">
      <w:pPr>
        <w:spacing w:after="120"/>
        <w:ind w:left="340"/>
        <w:jc w:val="both"/>
      </w:pPr>
    </w:p>
    <w:p w14:paraId="7D2FABF3" w14:textId="77777777" w:rsidR="0088016E" w:rsidRPr="00381191" w:rsidRDefault="0088016E" w:rsidP="00777E31">
      <w:pPr>
        <w:ind w:left="567"/>
        <w:jc w:val="both"/>
      </w:pPr>
      <w:r w:rsidRPr="00381191">
        <w:t xml:space="preserve">přičemž </w:t>
      </w:r>
    </w:p>
    <w:p w14:paraId="28E47F71" w14:textId="77777777" w:rsidR="0088016E" w:rsidRPr="00381191" w:rsidRDefault="0088016E" w:rsidP="00777E31">
      <w:pPr>
        <w:ind w:left="567"/>
        <w:jc w:val="both"/>
      </w:pPr>
    </w:p>
    <w:p w14:paraId="0599EFB4" w14:textId="7371A2B4" w:rsidR="00F329A7" w:rsidRPr="00381191" w:rsidRDefault="00F329A7" w:rsidP="00EC3137">
      <w:pPr>
        <w:spacing w:after="120"/>
        <w:ind w:left="340"/>
        <w:jc w:val="both"/>
      </w:pPr>
      <w:r w:rsidRPr="00381191">
        <w:rPr>
          <w:b/>
        </w:rPr>
        <w:t>spotřeba MÚA</w:t>
      </w:r>
      <w:r w:rsidRPr="00381191">
        <w:t xml:space="preserve">= dodávky elektrické energie z trafostanice ÚSMH pro budovu MÚA a archivy I+II </w:t>
      </w:r>
    </w:p>
    <w:p w14:paraId="7D8D7094" w14:textId="61B9BF62" w:rsidR="00F329A7" w:rsidRPr="00381191" w:rsidRDefault="00F329A7" w:rsidP="00F329A7">
      <w:pPr>
        <w:ind w:left="340"/>
        <w:jc w:val="both"/>
      </w:pPr>
      <w:r w:rsidRPr="00381191">
        <w:rPr>
          <w:b/>
          <w:bCs/>
        </w:rPr>
        <w:t>cena dodávek z DS</w:t>
      </w:r>
      <w:r w:rsidRPr="00381191">
        <w:t xml:space="preserve"> = skutečné náklady na dodávky z DS hrazené ÚSMH v daném fakturovaném období</w:t>
      </w:r>
    </w:p>
    <w:bookmarkEnd w:id="0"/>
    <w:p w14:paraId="3624D3B4" w14:textId="77777777" w:rsidR="0088016E" w:rsidRDefault="0088016E" w:rsidP="00514740">
      <w:pPr>
        <w:ind w:left="340"/>
        <w:jc w:val="both"/>
        <w:rPr>
          <w:iCs/>
        </w:rPr>
      </w:pPr>
    </w:p>
    <w:p w14:paraId="3DDA76A2" w14:textId="77777777" w:rsidR="00A70EAA" w:rsidRDefault="00C3478C" w:rsidP="0088016E">
      <w:pPr>
        <w:numPr>
          <w:ilvl w:val="0"/>
          <w:numId w:val="33"/>
        </w:numPr>
        <w:jc w:val="both"/>
      </w:pPr>
      <w:r>
        <w:rPr>
          <w:iCs/>
        </w:rPr>
        <w:t xml:space="preserve">Tato </w:t>
      </w:r>
      <w:r w:rsidR="0088016E">
        <w:rPr>
          <w:iCs/>
        </w:rPr>
        <w:t>Ú</w:t>
      </w:r>
      <w:r>
        <w:rPr>
          <w:iCs/>
        </w:rPr>
        <w:t xml:space="preserve">hrada bude zaplacena ze strany MÚA </w:t>
      </w:r>
      <w:r w:rsidR="003B3BEA">
        <w:rPr>
          <w:iCs/>
        </w:rPr>
        <w:t xml:space="preserve">na základě </w:t>
      </w:r>
      <w:r w:rsidR="00A70EAA" w:rsidRPr="00A70EAA">
        <w:t>daňového dokladu</w:t>
      </w:r>
      <w:r>
        <w:t xml:space="preserve"> vystaveného ze strany ÚSMH, a to</w:t>
      </w:r>
      <w:r w:rsidR="00A70EAA" w:rsidRPr="00A70EAA">
        <w:t xml:space="preserve"> na </w:t>
      </w:r>
      <w:r w:rsidR="002C1BD0">
        <w:t xml:space="preserve">bankovní </w:t>
      </w:r>
      <w:r w:rsidR="00A70EAA" w:rsidRPr="00A70EAA">
        <w:t>účet č</w:t>
      </w:r>
      <w:r w:rsidR="00A70EAA" w:rsidRPr="00D76BCC">
        <w:t xml:space="preserve">. </w:t>
      </w:r>
      <w:r w:rsidR="002C1BD0" w:rsidRPr="00D76BCC">
        <w:t>35-3606170227/0100, veden</w:t>
      </w:r>
      <w:r w:rsidR="0081646C">
        <w:t>ý</w:t>
      </w:r>
      <w:r w:rsidR="002C1BD0" w:rsidRPr="00D76BCC">
        <w:t xml:space="preserve"> u Komerční </w:t>
      </w:r>
      <w:r w:rsidR="002C1BD0" w:rsidRPr="00ED672D">
        <w:t>banky, a.s.</w:t>
      </w:r>
      <w:r w:rsidR="00A70EAA" w:rsidRPr="00ED672D">
        <w:t>, (v. s. – číslo vystavené faktury pro dané období)</w:t>
      </w:r>
      <w:r w:rsidR="003B3BEA" w:rsidRPr="00ED672D">
        <w:t xml:space="preserve">. </w:t>
      </w:r>
      <w:r w:rsidR="00777E31" w:rsidRPr="00ED672D">
        <w:t>Přílohou faktury musí být výpočet Úhrady provedený energetikem ÚSMH v souladu s výše uvedeným výpočtovým vzorcem.</w:t>
      </w:r>
    </w:p>
    <w:p w14:paraId="01060151" w14:textId="77777777" w:rsidR="00A70EAA" w:rsidRPr="00A70EAA" w:rsidRDefault="00A70EAA" w:rsidP="00A70EAA">
      <w:pPr>
        <w:jc w:val="both"/>
      </w:pPr>
    </w:p>
    <w:p w14:paraId="5E6D3972" w14:textId="021371A7" w:rsidR="00A70EAA" w:rsidRPr="00ED672D" w:rsidRDefault="0000035A" w:rsidP="002C21CD">
      <w:pPr>
        <w:numPr>
          <w:ilvl w:val="0"/>
          <w:numId w:val="33"/>
        </w:numPr>
        <w:jc w:val="both"/>
      </w:pPr>
      <w:r w:rsidRPr="0000035A">
        <w:t xml:space="preserve">Lhůta splatnosti faktur vystavovaných dle čl. </w:t>
      </w:r>
      <w:r>
        <w:t>IV. odst. 1</w:t>
      </w:r>
      <w:r w:rsidRPr="0000035A">
        <w:t xml:space="preserve"> této smlouvy nesmí být kratší než 30 dnů. </w:t>
      </w:r>
      <w:r w:rsidR="00A70EAA" w:rsidRPr="00A70EAA">
        <w:t>Za okamžik zaplacení</w:t>
      </w:r>
      <w:r w:rsidR="00777E31">
        <w:t xml:space="preserve"> Úhrady</w:t>
      </w:r>
      <w:r w:rsidR="00BB0A16">
        <w:t xml:space="preserve"> </w:t>
      </w:r>
      <w:r w:rsidR="00A70EAA" w:rsidRPr="00A70EAA">
        <w:t>si smluvní strany</w:t>
      </w:r>
      <w:r w:rsidR="0002443B">
        <w:t xml:space="preserve"> </w:t>
      </w:r>
      <w:r w:rsidR="00A70EAA" w:rsidRPr="00A70EAA">
        <w:t>sjednávají den, kdy bud</w:t>
      </w:r>
      <w:r w:rsidR="00777E31">
        <w:t>e</w:t>
      </w:r>
      <w:r w:rsidR="00A70EAA" w:rsidRPr="00A70EAA">
        <w:t xml:space="preserve"> cel</w:t>
      </w:r>
      <w:r w:rsidR="00777E31">
        <w:t>á</w:t>
      </w:r>
      <w:r w:rsidR="00A70EAA" w:rsidRPr="00A70EAA">
        <w:t xml:space="preserve"> </w:t>
      </w:r>
      <w:r w:rsidR="00777E31">
        <w:t>fakturovaná</w:t>
      </w:r>
      <w:r w:rsidR="00777E31" w:rsidRPr="00A70EAA">
        <w:t xml:space="preserve"> </w:t>
      </w:r>
      <w:r w:rsidR="00A70EAA" w:rsidRPr="00A70EAA">
        <w:t>částk</w:t>
      </w:r>
      <w:r w:rsidR="00777E31">
        <w:t>a Úhrady</w:t>
      </w:r>
      <w:r w:rsidR="00A70EAA" w:rsidRPr="00A70EAA">
        <w:t xml:space="preserve"> připsán</w:t>
      </w:r>
      <w:r w:rsidR="00777E31">
        <w:t>a</w:t>
      </w:r>
      <w:r w:rsidR="00A70EAA" w:rsidRPr="00A70EAA">
        <w:t xml:space="preserve"> na účet </w:t>
      </w:r>
      <w:r w:rsidR="00A70EAA" w:rsidRPr="00ED672D">
        <w:t>uvedený</w:t>
      </w:r>
      <w:r w:rsidR="0002443B" w:rsidRPr="00ED672D">
        <w:t xml:space="preserve"> </w:t>
      </w:r>
      <w:r w:rsidR="00A70EAA" w:rsidRPr="00ED672D">
        <w:t>v článku I</w:t>
      </w:r>
      <w:r w:rsidR="005C5D88" w:rsidRPr="00ED672D">
        <w:t>V</w:t>
      </w:r>
      <w:r w:rsidR="00A70EAA" w:rsidRPr="00ED672D">
        <w:t xml:space="preserve">. odst. </w:t>
      </w:r>
      <w:r w:rsidR="007A246D">
        <w:t>2</w:t>
      </w:r>
      <w:r w:rsidR="00A70EAA" w:rsidRPr="00ED672D">
        <w:t xml:space="preserve"> této smlouvy. Neuhra</w:t>
      </w:r>
      <w:r w:rsidR="00553487" w:rsidRPr="00ED672D">
        <w:t xml:space="preserve">dí-li </w:t>
      </w:r>
      <w:r w:rsidR="005C5D88" w:rsidRPr="00ED672D">
        <w:t>MÚA</w:t>
      </w:r>
      <w:r w:rsidR="00553487" w:rsidRPr="00ED672D">
        <w:t xml:space="preserve"> </w:t>
      </w:r>
      <w:r w:rsidR="00777E31" w:rsidRPr="00ED672D">
        <w:t xml:space="preserve">Úhradu dle </w:t>
      </w:r>
      <w:r w:rsidR="00553487" w:rsidRPr="00ED672D">
        <w:t>daňov</w:t>
      </w:r>
      <w:r w:rsidR="00777E31" w:rsidRPr="00ED672D">
        <w:t>ého</w:t>
      </w:r>
      <w:r w:rsidR="00553487" w:rsidRPr="00ED672D">
        <w:t xml:space="preserve"> doklad</w:t>
      </w:r>
      <w:r w:rsidR="00777E31" w:rsidRPr="00ED672D">
        <w:t>u</w:t>
      </w:r>
      <w:r w:rsidR="00553487" w:rsidRPr="00ED672D">
        <w:t xml:space="preserve"> </w:t>
      </w:r>
      <w:r w:rsidR="00A70EAA" w:rsidRPr="00ED672D">
        <w:t xml:space="preserve">do dne splatnosti, vzniká </w:t>
      </w:r>
      <w:r w:rsidR="005C5D88" w:rsidRPr="00ED672D">
        <w:t>MÚA</w:t>
      </w:r>
      <w:r w:rsidR="00A70EAA" w:rsidRPr="00ED672D">
        <w:t xml:space="preserve"> povinnost zaplatit úrok z prodlení z dlužné částky </w:t>
      </w:r>
      <w:r w:rsidR="00ED672D" w:rsidRPr="00ED672D">
        <w:t>podle z</w:t>
      </w:r>
      <w:r w:rsidR="00A70EAA" w:rsidRPr="00ED672D">
        <w:t>ákonné sazby.</w:t>
      </w:r>
    </w:p>
    <w:p w14:paraId="1F41AD06" w14:textId="77777777" w:rsidR="00553487" w:rsidRDefault="00553487" w:rsidP="00553487">
      <w:pPr>
        <w:ind w:left="340"/>
        <w:jc w:val="both"/>
      </w:pPr>
    </w:p>
    <w:p w14:paraId="35977F9E" w14:textId="727C2EFE" w:rsidR="00553487" w:rsidRDefault="00553487" w:rsidP="002C21CD">
      <w:pPr>
        <w:numPr>
          <w:ilvl w:val="0"/>
          <w:numId w:val="33"/>
        </w:numPr>
        <w:jc w:val="both"/>
      </w:pPr>
      <w:r>
        <w:t>ÚSMH má</w:t>
      </w:r>
      <w:r w:rsidRPr="00A70EAA">
        <w:t xml:space="preserve"> povi</w:t>
      </w:r>
      <w:r>
        <w:t>nnost</w:t>
      </w:r>
      <w:r w:rsidRPr="00A70EAA">
        <w:t xml:space="preserve"> evidovat všechny záležitosti</w:t>
      </w:r>
      <w:r>
        <w:t xml:space="preserve"> </w:t>
      </w:r>
      <w:r w:rsidRPr="00A70EAA">
        <w:t>týkající se</w:t>
      </w:r>
      <w:r w:rsidR="00777E31">
        <w:t xml:space="preserve"> spotřeby budovy MÚA a areálu ÚSMH a </w:t>
      </w:r>
      <w:r w:rsidR="00A35E2A">
        <w:t>shromažďovat veškeré</w:t>
      </w:r>
      <w:r w:rsidRPr="00A70EAA">
        <w:t xml:space="preserve"> </w:t>
      </w:r>
      <w:r>
        <w:t>podklad</w:t>
      </w:r>
      <w:r w:rsidR="00A35E2A">
        <w:t>y</w:t>
      </w:r>
      <w:r>
        <w:t xml:space="preserve"> pro výpočet </w:t>
      </w:r>
      <w:r w:rsidR="00777E31">
        <w:t>Úhrady</w:t>
      </w:r>
      <w:r w:rsidR="00A35E2A">
        <w:t>, a to</w:t>
      </w:r>
      <w:r w:rsidR="005C5D88">
        <w:t xml:space="preserve"> </w:t>
      </w:r>
      <w:r w:rsidRPr="00A70EAA">
        <w:t>průkazným způsobem</w:t>
      </w:r>
      <w:r w:rsidR="00A35E2A">
        <w:t>. ÚSMH</w:t>
      </w:r>
      <w:r w:rsidRPr="00A70EAA">
        <w:t xml:space="preserve"> je povinen </w:t>
      </w:r>
      <w:r w:rsidR="00A35E2A" w:rsidRPr="00A70EAA">
        <w:t xml:space="preserve">na výzvu </w:t>
      </w:r>
      <w:r w:rsidR="00A35E2A">
        <w:t>MÚA</w:t>
      </w:r>
      <w:r>
        <w:t xml:space="preserve"> </w:t>
      </w:r>
      <w:r w:rsidRPr="00A70EAA">
        <w:t xml:space="preserve">umožnit </w:t>
      </w:r>
      <w:r w:rsidR="00A35E2A">
        <w:t xml:space="preserve">MÚA </w:t>
      </w:r>
      <w:r w:rsidRPr="00A70EAA">
        <w:t>nahlédnout do podkladů k</w:t>
      </w:r>
      <w:r w:rsidR="00777E31">
        <w:t> </w:t>
      </w:r>
      <w:r w:rsidRPr="00A70EAA">
        <w:t>vyúčtování</w:t>
      </w:r>
      <w:r w:rsidR="00777E31">
        <w:t xml:space="preserve"> Úhrady</w:t>
      </w:r>
      <w:r w:rsidRPr="00A70EAA">
        <w:t>.</w:t>
      </w:r>
    </w:p>
    <w:p w14:paraId="1007B255" w14:textId="77777777" w:rsidR="009B5A31" w:rsidRDefault="009B5A31" w:rsidP="009B5A31">
      <w:pPr>
        <w:pStyle w:val="Odstavecseseznamem"/>
      </w:pPr>
    </w:p>
    <w:p w14:paraId="125129DE" w14:textId="77777777" w:rsidR="009B5A31" w:rsidRDefault="009B5A31" w:rsidP="002C21CD">
      <w:pPr>
        <w:numPr>
          <w:ilvl w:val="0"/>
          <w:numId w:val="33"/>
        </w:numPr>
        <w:jc w:val="both"/>
      </w:pPr>
      <w:r w:rsidRPr="009B5A31">
        <w:t xml:space="preserve">MÚA je oprávněn kdykoliv ve lhůtě splatnosti vrátit ÚSMH fakturu bez zaplacení, jestliže faktura nesplňuje náležitosti stanovené právními předpisy </w:t>
      </w:r>
      <w:r>
        <w:t>a/</w:t>
      </w:r>
      <w:r w:rsidRPr="009B5A31">
        <w:t>nebo jsou v ní uveden</w:t>
      </w:r>
      <w:r>
        <w:t>y</w:t>
      </w:r>
      <w:r w:rsidRPr="009B5A31">
        <w:t xml:space="preserve"> nesprávné</w:t>
      </w:r>
      <w:r>
        <w:t xml:space="preserve"> </w:t>
      </w:r>
      <w:r w:rsidRPr="009B5A31">
        <w:t xml:space="preserve">údaje. Současně s vrácením faktury MÚA sdělí ÚSMH důvody vrácení. Smluvní strany se dohodly, že je-li faktura vrácena ÚSMH postupem podle tohoto čl. IV odst. </w:t>
      </w:r>
      <w:r w:rsidR="00777E31">
        <w:t>5</w:t>
      </w:r>
      <w:r w:rsidRPr="009B5A31">
        <w:t xml:space="preserve"> smlouvy, je ÚSMH povinen vyhotovit novou opravenou fakturu. Oprávněným vrácením faktury se má za to, že původní lhůta splatnosti faktury nikdy nepočala běžet. Nová lhůta splatnosti začíná běžet ode dne, kdy MÚA obdrží opravenou fakturu.</w:t>
      </w:r>
    </w:p>
    <w:p w14:paraId="4EBFEBF6" w14:textId="77777777" w:rsidR="00261736" w:rsidRDefault="00261736" w:rsidP="00261736">
      <w:pPr>
        <w:pStyle w:val="Odstavecseseznamem"/>
        <w:ind w:left="0"/>
      </w:pPr>
    </w:p>
    <w:p w14:paraId="33CC0CB1" w14:textId="77777777" w:rsidR="00854556" w:rsidRDefault="00854556">
      <w:pPr>
        <w:tabs>
          <w:tab w:val="left" w:pos="360"/>
        </w:tabs>
        <w:ind w:left="360"/>
        <w:jc w:val="both"/>
        <w:rPr>
          <w:color w:val="000000"/>
        </w:rPr>
      </w:pPr>
    </w:p>
    <w:p w14:paraId="360FB15A" w14:textId="77777777" w:rsidR="00F67FD9" w:rsidRDefault="00294343">
      <w:pPr>
        <w:pStyle w:val="Nadpis3"/>
        <w:ind w:left="0"/>
        <w:rPr>
          <w:b/>
        </w:rPr>
      </w:pPr>
      <w:r>
        <w:rPr>
          <w:b/>
        </w:rPr>
        <w:t>Článek V</w:t>
      </w:r>
      <w:r w:rsidR="00F67FD9">
        <w:rPr>
          <w:b/>
        </w:rPr>
        <w:t>.</w:t>
      </w:r>
    </w:p>
    <w:p w14:paraId="13139560" w14:textId="77777777" w:rsidR="00294343" w:rsidRDefault="00F67FD9">
      <w:pPr>
        <w:pStyle w:val="Nadpis3"/>
        <w:ind w:left="0"/>
        <w:rPr>
          <w:b/>
        </w:rPr>
      </w:pPr>
      <w:r>
        <w:rPr>
          <w:b/>
        </w:rPr>
        <w:t>T</w:t>
      </w:r>
      <w:r w:rsidR="00294343">
        <w:rPr>
          <w:b/>
        </w:rPr>
        <w:t>rvání smlouvy</w:t>
      </w:r>
    </w:p>
    <w:p w14:paraId="715648E2" w14:textId="77777777" w:rsidR="00294343" w:rsidRDefault="00294343"/>
    <w:p w14:paraId="1636EB1C" w14:textId="7470674C" w:rsidR="00835151" w:rsidRPr="00A7397F" w:rsidRDefault="00835151" w:rsidP="00835151">
      <w:pPr>
        <w:numPr>
          <w:ilvl w:val="0"/>
          <w:numId w:val="6"/>
        </w:numPr>
        <w:tabs>
          <w:tab w:val="left" w:pos="360"/>
          <w:tab w:val="left" w:pos="8647"/>
        </w:tabs>
        <w:ind w:left="360" w:hanging="360"/>
        <w:jc w:val="both"/>
        <w:rPr>
          <w:bCs/>
          <w:color w:val="000000"/>
        </w:rPr>
      </w:pPr>
      <w:r w:rsidRPr="0062435F">
        <w:t xml:space="preserve">Smlouva se uzavírá na dobu </w:t>
      </w:r>
      <w:r w:rsidR="00A7397F" w:rsidRPr="00F612C0">
        <w:t>ne</w:t>
      </w:r>
      <w:r w:rsidRPr="00F612C0">
        <w:t>určitou</w:t>
      </w:r>
      <w:r w:rsidR="00ED672D">
        <w:t>.</w:t>
      </w:r>
    </w:p>
    <w:p w14:paraId="53E63EF4" w14:textId="77777777" w:rsidR="00A7397F" w:rsidRPr="0062435F" w:rsidRDefault="00A7397F" w:rsidP="00A7397F">
      <w:pPr>
        <w:tabs>
          <w:tab w:val="left" w:pos="8647"/>
        </w:tabs>
        <w:ind w:left="360"/>
        <w:jc w:val="both"/>
        <w:rPr>
          <w:bCs/>
          <w:color w:val="000000"/>
        </w:rPr>
      </w:pPr>
    </w:p>
    <w:p w14:paraId="1081F75B" w14:textId="77777777" w:rsidR="00957B27" w:rsidRPr="00C74732" w:rsidRDefault="00957B27" w:rsidP="0000035A">
      <w:pPr>
        <w:numPr>
          <w:ilvl w:val="0"/>
          <w:numId w:val="6"/>
        </w:numPr>
        <w:tabs>
          <w:tab w:val="left" w:pos="360"/>
          <w:tab w:val="left" w:pos="8647"/>
        </w:tabs>
        <w:ind w:left="360" w:hanging="360"/>
        <w:jc w:val="both"/>
      </w:pPr>
      <w:r w:rsidRPr="00C74732">
        <w:t xml:space="preserve">Žádná ze smluvních </w:t>
      </w:r>
      <w:r w:rsidRPr="0000035A">
        <w:rPr>
          <w:color w:val="000000"/>
        </w:rPr>
        <w:t>stran</w:t>
      </w:r>
      <w:r w:rsidRPr="00C74732">
        <w:t xml:space="preserve"> není oprávněna tuto smlouvu ukončit z jiných důvodů než těch, které jsou uvedeny v této smlouvě.</w:t>
      </w:r>
    </w:p>
    <w:p w14:paraId="6F419184" w14:textId="77777777" w:rsidR="009C70A8" w:rsidRDefault="009C70A8" w:rsidP="009C70A8">
      <w:pPr>
        <w:pStyle w:val="Odstavecseseznamem"/>
        <w:rPr>
          <w:color w:val="000000"/>
        </w:rPr>
      </w:pPr>
    </w:p>
    <w:p w14:paraId="4178736F" w14:textId="441DBB50" w:rsidR="009C70A8" w:rsidRDefault="006161A9" w:rsidP="00672A8B">
      <w:pPr>
        <w:numPr>
          <w:ilvl w:val="0"/>
          <w:numId w:val="6"/>
        </w:numPr>
        <w:tabs>
          <w:tab w:val="left" w:pos="360"/>
          <w:tab w:val="left" w:pos="8647"/>
        </w:tabs>
        <w:ind w:left="360" w:hanging="360"/>
        <w:jc w:val="both"/>
        <w:rPr>
          <w:color w:val="000000"/>
        </w:rPr>
      </w:pPr>
      <w:r>
        <w:rPr>
          <w:color w:val="000000"/>
        </w:rPr>
        <w:t xml:space="preserve">Každá ze smluvních stran je oprávněna vypovědět smlouvu </w:t>
      </w:r>
      <w:r w:rsidR="00957B27" w:rsidRPr="00C74732">
        <w:t>s tříměsíční výpovědní lhůtou</w:t>
      </w:r>
      <w:r>
        <w:rPr>
          <w:color w:val="000000"/>
        </w:rPr>
        <w:t xml:space="preserve"> písemnou výpovědí doručenou druhé smluvní straně, a to z následujících důvodů</w:t>
      </w:r>
      <w:r w:rsidR="009B5A31">
        <w:rPr>
          <w:color w:val="000000"/>
        </w:rPr>
        <w:t>:</w:t>
      </w:r>
    </w:p>
    <w:p w14:paraId="44F1342D" w14:textId="77777777" w:rsidR="009B5A31" w:rsidRDefault="009B5A31" w:rsidP="009B5A31">
      <w:pPr>
        <w:pStyle w:val="Odstavecseseznamem"/>
        <w:rPr>
          <w:color w:val="000000"/>
        </w:rPr>
      </w:pPr>
    </w:p>
    <w:p w14:paraId="746B8DCB" w14:textId="081D3B6D" w:rsidR="009B5A31" w:rsidRDefault="009B5A31" w:rsidP="00C92E5D">
      <w:pPr>
        <w:numPr>
          <w:ilvl w:val="0"/>
          <w:numId w:val="36"/>
        </w:numPr>
        <w:spacing w:after="120"/>
        <w:ind w:left="709" w:hanging="357"/>
        <w:jc w:val="both"/>
        <w:rPr>
          <w:color w:val="000000"/>
        </w:rPr>
      </w:pPr>
      <w:r>
        <w:rPr>
          <w:color w:val="000000"/>
        </w:rPr>
        <w:t>druhá smluvní strana poruší tuto smlouvu podstatný</w:t>
      </w:r>
      <w:r w:rsidR="00F275B6">
        <w:rPr>
          <w:color w:val="000000"/>
        </w:rPr>
        <w:t xml:space="preserve">m </w:t>
      </w:r>
      <w:r>
        <w:rPr>
          <w:color w:val="000000"/>
        </w:rPr>
        <w:t>způsobem a toto porušení nenapraví ani v přiměřené dodatečné lhůtě k nápravě, kterou jí druhá strana stanoví v písemné výzvě k nápravě; nebo</w:t>
      </w:r>
    </w:p>
    <w:p w14:paraId="5D2B90B7" w14:textId="77777777" w:rsidR="009B5A31" w:rsidRDefault="009B5A31" w:rsidP="009B5A31">
      <w:pPr>
        <w:numPr>
          <w:ilvl w:val="0"/>
          <w:numId w:val="36"/>
        </w:numPr>
        <w:ind w:left="709"/>
        <w:jc w:val="both"/>
        <w:rPr>
          <w:color w:val="000000"/>
        </w:rPr>
      </w:pPr>
      <w:r>
        <w:rPr>
          <w:color w:val="000000"/>
        </w:rPr>
        <w:t>druhá smluvní strana vstoupí do likvidace nebo bude</w:t>
      </w:r>
      <w:r w:rsidR="00777E31">
        <w:rPr>
          <w:color w:val="000000"/>
        </w:rPr>
        <w:t xml:space="preserve"> pravomocně</w:t>
      </w:r>
      <w:r>
        <w:rPr>
          <w:color w:val="000000"/>
        </w:rPr>
        <w:t xml:space="preserve"> prohlášen její úpadek.</w:t>
      </w:r>
    </w:p>
    <w:p w14:paraId="6B5BB2F1" w14:textId="77777777" w:rsidR="00AB38BB" w:rsidRDefault="00AB38BB" w:rsidP="00AB38BB">
      <w:pPr>
        <w:pStyle w:val="Odstavecseseznamem"/>
        <w:rPr>
          <w:color w:val="000000"/>
        </w:rPr>
      </w:pPr>
    </w:p>
    <w:p w14:paraId="37ECA80F" w14:textId="77777777" w:rsidR="009B5A31" w:rsidRDefault="009B5A31" w:rsidP="00672A8B">
      <w:pPr>
        <w:numPr>
          <w:ilvl w:val="0"/>
          <w:numId w:val="6"/>
        </w:numPr>
        <w:tabs>
          <w:tab w:val="left" w:pos="360"/>
          <w:tab w:val="left" w:pos="8647"/>
        </w:tabs>
        <w:ind w:left="360" w:hanging="360"/>
        <w:jc w:val="both"/>
        <w:rPr>
          <w:color w:val="000000"/>
        </w:rPr>
      </w:pPr>
      <w:r>
        <w:rPr>
          <w:color w:val="000000"/>
        </w:rPr>
        <w:t xml:space="preserve">Tuto smlouvu lze také ukončit písemnou dohodou </w:t>
      </w:r>
      <w:r w:rsidR="00D04D1D">
        <w:rPr>
          <w:color w:val="000000"/>
        </w:rPr>
        <w:t>smluvních stran.</w:t>
      </w:r>
    </w:p>
    <w:p w14:paraId="0CF81F7E" w14:textId="77777777" w:rsidR="009B5A31" w:rsidRDefault="009B5A31" w:rsidP="009B5A31">
      <w:pPr>
        <w:tabs>
          <w:tab w:val="left" w:pos="8647"/>
        </w:tabs>
        <w:ind w:left="360"/>
        <w:jc w:val="both"/>
        <w:rPr>
          <w:color w:val="000000"/>
        </w:rPr>
      </w:pPr>
    </w:p>
    <w:p w14:paraId="25DCE8A9" w14:textId="77777777" w:rsidR="00F67FD9" w:rsidRDefault="0021581B">
      <w:pPr>
        <w:pStyle w:val="Zkladntextodsazen"/>
        <w:ind w:left="0"/>
        <w:jc w:val="center"/>
        <w:rPr>
          <w:b/>
        </w:rPr>
      </w:pPr>
      <w:r>
        <w:rPr>
          <w:b/>
        </w:rPr>
        <w:t>Článek VI</w:t>
      </w:r>
      <w:r w:rsidR="00F67FD9">
        <w:rPr>
          <w:b/>
        </w:rPr>
        <w:t>.</w:t>
      </w:r>
    </w:p>
    <w:p w14:paraId="26D6649A" w14:textId="77777777" w:rsidR="00294343" w:rsidRDefault="00294343">
      <w:pPr>
        <w:pStyle w:val="Zkladntextodsazen"/>
        <w:ind w:left="0"/>
        <w:jc w:val="center"/>
        <w:rPr>
          <w:b/>
        </w:rPr>
      </w:pPr>
      <w:r>
        <w:rPr>
          <w:b/>
        </w:rPr>
        <w:t>Závěrečná ustanovení</w:t>
      </w:r>
    </w:p>
    <w:p w14:paraId="09DE2D2F" w14:textId="77777777" w:rsidR="00294343" w:rsidRDefault="00294343">
      <w:pPr>
        <w:pStyle w:val="Zkladntextodsazen"/>
        <w:ind w:left="0"/>
        <w:jc w:val="center"/>
        <w:rPr>
          <w:b/>
        </w:rPr>
      </w:pPr>
    </w:p>
    <w:p w14:paraId="2B781142" w14:textId="77777777" w:rsidR="00EB6812" w:rsidRDefault="000F0927" w:rsidP="00EB6812">
      <w:pPr>
        <w:pStyle w:val="Zkladntextodsazen"/>
        <w:numPr>
          <w:ilvl w:val="0"/>
          <w:numId w:val="2"/>
        </w:numPr>
        <w:tabs>
          <w:tab w:val="left" w:pos="360"/>
        </w:tabs>
        <w:ind w:hanging="360"/>
        <w:jc w:val="both"/>
      </w:pPr>
      <w:r>
        <w:t xml:space="preserve">Právní vztahy </w:t>
      </w:r>
      <w:r w:rsidR="00EB6812">
        <w:t>touto</w:t>
      </w:r>
      <w:r w:rsidR="00294343">
        <w:t xml:space="preserve"> smlouvou výslovně neupravené se řídí </w:t>
      </w:r>
      <w:r w:rsidR="002C21CD">
        <w:t>českým právem</w:t>
      </w:r>
      <w:r w:rsidR="00ED672D">
        <w:t xml:space="preserve">, zejména </w:t>
      </w:r>
      <w:r w:rsidR="00CA690F">
        <w:t>zákonem č. 89/2012 Sb.</w:t>
      </w:r>
      <w:r w:rsidR="00D00D8A">
        <w:t>,</w:t>
      </w:r>
      <w:r w:rsidR="00CA690F">
        <w:t xml:space="preserve"> občanským zákoníkem.</w:t>
      </w:r>
    </w:p>
    <w:p w14:paraId="383AD8C2" w14:textId="77777777" w:rsidR="00EB6812" w:rsidRDefault="00EB6812" w:rsidP="00EB6812">
      <w:pPr>
        <w:pStyle w:val="Zkladntextodsazen"/>
        <w:tabs>
          <w:tab w:val="left" w:pos="360"/>
        </w:tabs>
        <w:jc w:val="both"/>
      </w:pPr>
    </w:p>
    <w:p w14:paraId="449A64C4" w14:textId="77777777" w:rsidR="00294343" w:rsidRDefault="00855DC4">
      <w:pPr>
        <w:pStyle w:val="Zkladntextodsazen"/>
        <w:numPr>
          <w:ilvl w:val="0"/>
          <w:numId w:val="2"/>
        </w:numPr>
        <w:tabs>
          <w:tab w:val="left" w:pos="360"/>
        </w:tabs>
        <w:ind w:hanging="360"/>
        <w:jc w:val="both"/>
      </w:pPr>
      <w:r>
        <w:t xml:space="preserve">Změny nebo doplňky </w:t>
      </w:r>
      <w:r w:rsidR="00EB6812">
        <w:t>této smlouvy</w:t>
      </w:r>
      <w:r>
        <w:t xml:space="preserve"> </w:t>
      </w:r>
      <w:r w:rsidR="00294343">
        <w:t>mohou být prováděny pouze písemn</w:t>
      </w:r>
      <w:r w:rsidR="00CA690F">
        <w:t>ými a vzestupně číslovanými dodatky</w:t>
      </w:r>
      <w:r w:rsidR="00294343">
        <w:t xml:space="preserve">. </w:t>
      </w:r>
    </w:p>
    <w:p w14:paraId="6CE7ACBB" w14:textId="77777777" w:rsidR="00EB6812" w:rsidRDefault="00EB6812" w:rsidP="00EB6812">
      <w:pPr>
        <w:pStyle w:val="Zkladntextodsazen"/>
        <w:ind w:left="0"/>
        <w:jc w:val="both"/>
      </w:pPr>
    </w:p>
    <w:p w14:paraId="72188852" w14:textId="5F715B72" w:rsidR="00EB6812" w:rsidRDefault="009B5A31" w:rsidP="0000035A">
      <w:pPr>
        <w:pStyle w:val="Zkladntextodsazen"/>
        <w:numPr>
          <w:ilvl w:val="0"/>
          <w:numId w:val="2"/>
        </w:numPr>
        <w:tabs>
          <w:tab w:val="left" w:pos="360"/>
        </w:tabs>
        <w:ind w:hanging="360"/>
        <w:jc w:val="both"/>
      </w:pPr>
      <w:r w:rsidRPr="009B5A31">
        <w:t>Všechna ustanovení této smlouvy jsou oddělitelná, a pokud jakékoliv její ustanovení je nebo se stane neplatným, neúčinným, nevymahatelným protiprávním nebo v rozporu s veřejným zájmem, nebo bude-li takovým příslušným orgánem shledáno, zůstávají ostatní ustanovení této smlouvy v platnosti a účinnosti. Smluvní strany se zavazují nahradit bez zbytečného odkladu neplatné, neúčinné nebo nevymahatelné ustanovení této smlouvy ustanovením jiným, které svým obsahem a smyslem odpovídá nejlépe ustanovení původnímu a této smlouvě jako celku.</w:t>
      </w:r>
    </w:p>
    <w:p w14:paraId="323298D1" w14:textId="77777777" w:rsidR="00294343" w:rsidRDefault="00EB6812" w:rsidP="00D87EB3">
      <w:pPr>
        <w:pStyle w:val="Zkladntextodsazen"/>
        <w:numPr>
          <w:ilvl w:val="0"/>
          <w:numId w:val="2"/>
        </w:numPr>
        <w:tabs>
          <w:tab w:val="left" w:pos="360"/>
        </w:tabs>
        <w:ind w:hanging="360"/>
        <w:jc w:val="both"/>
      </w:pPr>
      <w:r>
        <w:t>Tato smlouva</w:t>
      </w:r>
      <w:r w:rsidR="00855DC4">
        <w:t xml:space="preserve"> se vyhotovuje</w:t>
      </w:r>
      <w:r w:rsidR="00294343">
        <w:t xml:space="preserve"> ve </w:t>
      </w:r>
      <w:r w:rsidR="00747446">
        <w:t>dvou</w:t>
      </w:r>
      <w:r w:rsidR="00294343">
        <w:t xml:space="preserve"> stejnopisech s platností originálu</w:t>
      </w:r>
      <w:r w:rsidR="00747446">
        <w:t>, každá strana obdrží</w:t>
      </w:r>
      <w:r w:rsidR="00CA690F">
        <w:t xml:space="preserve"> </w:t>
      </w:r>
      <w:r w:rsidR="00D87EB3">
        <w:t>jedno vyhotovení.</w:t>
      </w:r>
      <w:r w:rsidR="00745D04">
        <w:t xml:space="preserve"> </w:t>
      </w:r>
      <w:r w:rsidR="00294343">
        <w:t>Smluv</w:t>
      </w:r>
      <w:r w:rsidR="00855DC4">
        <w:t>ní strany prohlašují, že si t</w:t>
      </w:r>
      <w:r>
        <w:t>uto smlouvu před jejím</w:t>
      </w:r>
      <w:r w:rsidR="00294343">
        <w:t xml:space="preserve"> podpisem přečetly, že </w:t>
      </w:r>
      <w:r>
        <w:t>ji</w:t>
      </w:r>
      <w:r w:rsidR="00971F99">
        <w:t xml:space="preserve"> uzavírají</w:t>
      </w:r>
      <w:r w:rsidR="00294343">
        <w:t xml:space="preserve"> po vzájemném projednání podle jejich pravé a svobodné vůle, vážně </w:t>
      </w:r>
      <w:r w:rsidR="00294343">
        <w:lastRenderedPageBreak/>
        <w:t>a srozumitelně, nikoliv v tísni za nápadně nevýhodných podmínek. Na důkaz toho připojují své podpisy.</w:t>
      </w:r>
    </w:p>
    <w:p w14:paraId="5A1D5A79" w14:textId="77777777" w:rsidR="00EB6812" w:rsidRDefault="00EB6812" w:rsidP="00EB6812">
      <w:pPr>
        <w:pStyle w:val="Zkladntextodsazen"/>
        <w:ind w:left="0"/>
        <w:jc w:val="both"/>
      </w:pPr>
    </w:p>
    <w:p w14:paraId="3324B7EA" w14:textId="77777777" w:rsidR="000A561B" w:rsidRPr="000A561B" w:rsidRDefault="00971F99" w:rsidP="000A561B">
      <w:pPr>
        <w:pStyle w:val="Zkladntextodsazen"/>
        <w:numPr>
          <w:ilvl w:val="0"/>
          <w:numId w:val="2"/>
        </w:numPr>
        <w:tabs>
          <w:tab w:val="left" w:pos="360"/>
        </w:tabs>
        <w:ind w:hanging="360"/>
        <w:jc w:val="both"/>
      </w:pPr>
      <w:r>
        <w:t xml:space="preserve">Smluvní strany se dohodly, že pro vzájemné </w:t>
      </w:r>
      <w:r w:rsidR="005E53B4">
        <w:t>doručování určují jako rozhodné ty adresy, které jsou uvedeny v hlavičce této smlouvy</w:t>
      </w:r>
      <w:r w:rsidRPr="00971F99">
        <w:rPr>
          <w:color w:val="000000"/>
          <w:szCs w:val="24"/>
        </w:rPr>
        <w:t>.</w:t>
      </w:r>
    </w:p>
    <w:p w14:paraId="22B04B53" w14:textId="77777777" w:rsidR="000A561B" w:rsidRDefault="000A561B" w:rsidP="000A561B">
      <w:pPr>
        <w:pStyle w:val="Odstavecseseznamem"/>
      </w:pPr>
    </w:p>
    <w:p w14:paraId="60467549" w14:textId="77777777" w:rsidR="000A561B" w:rsidRDefault="00AB38BB" w:rsidP="000A561B">
      <w:pPr>
        <w:pStyle w:val="Zkladntextodsazen"/>
        <w:numPr>
          <w:ilvl w:val="0"/>
          <w:numId w:val="2"/>
        </w:numPr>
        <w:tabs>
          <w:tab w:val="left" w:pos="360"/>
        </w:tabs>
        <w:ind w:hanging="360"/>
        <w:jc w:val="both"/>
      </w:pPr>
      <w:r>
        <w:t xml:space="preserve">Smlouva nabývá platnosti jejím podpisem a účinnosti jejím uveřejněním v registru smluv. </w:t>
      </w:r>
      <w:r w:rsidR="002C21CD">
        <w:t>Smluvní strany vyjadřují</w:t>
      </w:r>
      <w:r w:rsidR="000A561B">
        <w:t xml:space="preserve"> souhlas s uveřejněním </w:t>
      </w:r>
      <w:r w:rsidR="002C21CD">
        <w:t>této s</w:t>
      </w:r>
      <w:r w:rsidR="000A561B">
        <w:t xml:space="preserve">mlouvy v registru smluv zřízeném zákonem č. 340/2015 Sb., o zvláštních podmínkách účinnosti některých smluv, uveřejňování těchto smluv a o registru smluv, ve znění pozdějších předpisů. </w:t>
      </w:r>
      <w:r w:rsidR="002C21CD">
        <w:t xml:space="preserve">MÚA </w:t>
      </w:r>
      <w:r w:rsidR="000A561B">
        <w:t xml:space="preserve">bere na vědomí, že uveřejnění </w:t>
      </w:r>
      <w:r w:rsidR="002C21CD">
        <w:t>s</w:t>
      </w:r>
      <w:r w:rsidR="000A561B">
        <w:t xml:space="preserve">mlouvy v registru smluv zajistí </w:t>
      </w:r>
      <w:r w:rsidR="002C21CD">
        <w:t>ÚSMH</w:t>
      </w:r>
      <w:r w:rsidR="000A561B">
        <w:t xml:space="preserve">, který je dále povinen </w:t>
      </w:r>
      <w:r w:rsidR="002C21CD">
        <w:t xml:space="preserve">MÚA </w:t>
      </w:r>
      <w:r w:rsidR="000A561B">
        <w:t xml:space="preserve">o uveřejnění smlouvy přiměřeným způsobem vyrozumět. Do registru smluv bude vložen elektronický obraz textového obsahu </w:t>
      </w:r>
      <w:r w:rsidR="002C21CD">
        <w:t>s</w:t>
      </w:r>
      <w:r w:rsidR="000A561B">
        <w:t xml:space="preserve">mlouvy v otevřeném a strojově čitelném formátu a rovněž metadata </w:t>
      </w:r>
      <w:r w:rsidR="002C21CD">
        <w:t>s</w:t>
      </w:r>
      <w:r w:rsidR="000A561B">
        <w:t>mlouvy</w:t>
      </w:r>
      <w:r w:rsidR="002C21CD">
        <w:t xml:space="preserve"> v souladu se všemi příslušnými právními předpisy</w:t>
      </w:r>
      <w:r w:rsidR="000A561B">
        <w:t>.</w:t>
      </w:r>
    </w:p>
    <w:p w14:paraId="0A0E4BF6" w14:textId="77777777" w:rsidR="00294343" w:rsidRDefault="00294343" w:rsidP="000A561B">
      <w:pPr>
        <w:pStyle w:val="Zkladntextodsazen"/>
        <w:jc w:val="both"/>
      </w:pPr>
    </w:p>
    <w:p w14:paraId="6184D90F" w14:textId="77777777" w:rsidR="00EB6812" w:rsidRDefault="00EB6812">
      <w:pPr>
        <w:pStyle w:val="Zkladntextodsazen"/>
        <w:ind w:left="0"/>
        <w:jc w:val="both"/>
      </w:pPr>
    </w:p>
    <w:p w14:paraId="4087F33C" w14:textId="6F90831A" w:rsidR="00294343" w:rsidRDefault="00F67FD9">
      <w:pPr>
        <w:pStyle w:val="Zkladntextodsazen"/>
        <w:jc w:val="both"/>
      </w:pPr>
      <w:r>
        <w:t>V Praze dne</w:t>
      </w:r>
      <w:r w:rsidR="00140454">
        <w:t xml:space="preserve"> </w:t>
      </w:r>
      <w:r w:rsidR="00C146DD">
        <w:t>02.01.2025</w:t>
      </w:r>
      <w:r w:rsidR="00140454">
        <w:tab/>
      </w:r>
      <w:r w:rsidR="00140454">
        <w:tab/>
      </w:r>
      <w:r w:rsidR="00140454">
        <w:tab/>
      </w:r>
      <w:r w:rsidR="00140454">
        <w:tab/>
      </w:r>
      <w:r w:rsidR="00294343">
        <w:t>V Praze dne</w:t>
      </w:r>
      <w:r w:rsidR="00140454">
        <w:t xml:space="preserve"> </w:t>
      </w:r>
      <w:r w:rsidR="00C146DD">
        <w:t>06.01.2025</w:t>
      </w:r>
    </w:p>
    <w:p w14:paraId="3A8B1605" w14:textId="77777777" w:rsidR="00294343" w:rsidRDefault="00294343">
      <w:pPr>
        <w:pStyle w:val="Zkladntextodsazen"/>
        <w:jc w:val="both"/>
      </w:pPr>
    </w:p>
    <w:p w14:paraId="04D893C3" w14:textId="77777777" w:rsidR="00294343" w:rsidRDefault="00294343">
      <w:pPr>
        <w:pStyle w:val="Zkladntextodsazen"/>
        <w:jc w:val="both"/>
      </w:pPr>
      <w:bookmarkStart w:id="1" w:name="_GoBack"/>
      <w:bookmarkEnd w:id="1"/>
    </w:p>
    <w:p w14:paraId="03A9606F" w14:textId="77777777" w:rsidR="00294343" w:rsidRDefault="009D725A" w:rsidP="00774FEE">
      <w:pPr>
        <w:pStyle w:val="Zkladntextodsazen"/>
        <w:ind w:left="0"/>
        <w:jc w:val="both"/>
      </w:pPr>
      <w:r>
        <w:t xml:space="preserve"> ________________________</w:t>
      </w:r>
      <w:r w:rsidR="00140454">
        <w:tab/>
      </w:r>
      <w:r w:rsidR="00140454">
        <w:tab/>
      </w:r>
      <w:r w:rsidR="00140454">
        <w:tab/>
      </w:r>
      <w:r>
        <w:t xml:space="preserve"> ______________________</w:t>
      </w:r>
      <w:r w:rsidR="00140454">
        <w:t>______</w:t>
      </w:r>
    </w:p>
    <w:p w14:paraId="13E52578" w14:textId="6BFA0EDD" w:rsidR="009B7A70" w:rsidRDefault="000F0D60" w:rsidP="00140454">
      <w:pPr>
        <w:pStyle w:val="Zkladntextodsazen"/>
        <w:rPr>
          <w:bCs/>
          <w:color w:val="000000"/>
        </w:rPr>
      </w:pPr>
      <w:r>
        <w:t xml:space="preserve"> </w:t>
      </w:r>
      <w:r w:rsidR="00DB3657" w:rsidRPr="00607CBB">
        <w:rPr>
          <w:szCs w:val="24"/>
        </w:rPr>
        <w:t xml:space="preserve">RNDr. </w:t>
      </w:r>
      <w:r w:rsidR="00747446">
        <w:rPr>
          <w:szCs w:val="24"/>
        </w:rPr>
        <w:t>Filip Hartvich, Ph.D</w:t>
      </w:r>
      <w:r w:rsidR="00DB3657" w:rsidRPr="00607CBB">
        <w:rPr>
          <w:szCs w:val="24"/>
        </w:rPr>
        <w:t>.</w:t>
      </w:r>
      <w:r w:rsidR="00140454">
        <w:rPr>
          <w:szCs w:val="24"/>
        </w:rPr>
        <w:tab/>
      </w:r>
      <w:r w:rsidR="00140454">
        <w:rPr>
          <w:szCs w:val="24"/>
        </w:rPr>
        <w:tab/>
      </w:r>
      <w:r w:rsidR="00140454">
        <w:rPr>
          <w:szCs w:val="24"/>
        </w:rPr>
        <w:tab/>
      </w:r>
      <w:r w:rsidR="00140454">
        <w:rPr>
          <w:bCs/>
          <w:color w:val="000000"/>
        </w:rPr>
        <w:t>doc. Dr. Phil. Rudolf Kučera, Ph.D.</w:t>
      </w:r>
      <w:r w:rsidR="00294343">
        <w:tab/>
      </w:r>
      <w:r w:rsidR="00140454">
        <w:t>ředitel ÚSMH AV ČR</w:t>
      </w:r>
      <w:r w:rsidR="00140454">
        <w:tab/>
      </w:r>
      <w:r w:rsidR="00140454">
        <w:tab/>
      </w:r>
      <w:r w:rsidR="00140454">
        <w:tab/>
        <w:t xml:space="preserve">    ředitel MÚ</w:t>
      </w:r>
      <w:r w:rsidR="00946798">
        <w:t>A</w:t>
      </w:r>
      <w:r w:rsidR="00140454">
        <w:t xml:space="preserve"> AV ČR</w:t>
      </w:r>
      <w:r w:rsidR="00294343">
        <w:tab/>
        <w:t xml:space="preserve"> </w:t>
      </w:r>
      <w:r w:rsidR="00294343">
        <w:tab/>
      </w:r>
      <w:r>
        <w:t xml:space="preserve">  </w:t>
      </w:r>
      <w:r w:rsidR="009B7A70">
        <w:t xml:space="preserve">                   </w:t>
      </w:r>
    </w:p>
    <w:p w14:paraId="58DB2756" w14:textId="77777777" w:rsidR="003A7422" w:rsidRDefault="009B7A70" w:rsidP="00140454">
      <w:pPr>
        <w:pStyle w:val="Zkladntextodsazen"/>
        <w:ind w:left="0"/>
        <w:jc w:val="both"/>
      </w:pPr>
      <w:r>
        <w:tab/>
      </w:r>
      <w:r>
        <w:tab/>
      </w:r>
      <w:r>
        <w:tab/>
      </w:r>
      <w:r>
        <w:tab/>
      </w:r>
      <w:r>
        <w:tab/>
      </w:r>
      <w:r w:rsidR="00294343">
        <w:tab/>
      </w:r>
      <w:r w:rsidR="00294343">
        <w:tab/>
      </w:r>
      <w:r w:rsidR="00294343">
        <w:tab/>
      </w:r>
      <w:r w:rsidR="00294343">
        <w:tab/>
        <w:t xml:space="preserve">      </w:t>
      </w:r>
      <w:r w:rsidR="00294343">
        <w:tab/>
        <w:t xml:space="preserve">    </w:t>
      </w:r>
      <w:r w:rsidR="00294343">
        <w:tab/>
      </w:r>
    </w:p>
    <w:sectPr w:rsidR="003A7422">
      <w:footerReference w:type="default" r:id="rId11"/>
      <w:footnotePr>
        <w:pos w:val="beneathText"/>
      </w:footnotePr>
      <w:pgSz w:w="11905" w:h="16837" w:code="9"/>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BE0924" w16cex:dateUtc="2024-11-06T16:28:00Z"/>
  <w16cex:commentExtensible w16cex:durableId="016349BC" w16cex:dateUtc="2024-11-26T21:57:00Z"/>
  <w16cex:commentExtensible w16cex:durableId="2CAA8248" w16cex:dateUtc="2024-11-06T16: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80CC8" w14:textId="77777777" w:rsidR="00DC71DE" w:rsidRDefault="00DC71DE">
      <w:r>
        <w:separator/>
      </w:r>
    </w:p>
  </w:endnote>
  <w:endnote w:type="continuationSeparator" w:id="0">
    <w:p w14:paraId="0F32B406" w14:textId="77777777" w:rsidR="00DC71DE" w:rsidRDefault="00DC71DE">
      <w:r>
        <w:continuationSeparator/>
      </w:r>
    </w:p>
  </w:endnote>
  <w:endnote w:type="continuationNotice" w:id="1">
    <w:p w14:paraId="1DE1A34F" w14:textId="77777777" w:rsidR="00DC71DE" w:rsidRDefault="00DC7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CBB8E" w14:textId="1362D456" w:rsidR="009B7A70" w:rsidRDefault="009B7A70">
    <w:pPr>
      <w:pStyle w:val="Zpat"/>
      <w:jc w:val="center"/>
    </w:pPr>
    <w:r>
      <w:fldChar w:fldCharType="begin"/>
    </w:r>
    <w:r>
      <w:instrText>PAGE   \* MERGEFORMAT</w:instrText>
    </w:r>
    <w:r>
      <w:fldChar w:fldCharType="separate"/>
    </w:r>
    <w:r w:rsidR="00307097">
      <w:rPr>
        <w:noProof/>
      </w:rPr>
      <w:t>5</w:t>
    </w:r>
    <w:r>
      <w:fldChar w:fldCharType="end"/>
    </w:r>
  </w:p>
  <w:p w14:paraId="66B4124C" w14:textId="77777777" w:rsidR="00AA146F" w:rsidRDefault="00AA146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D7830" w14:textId="77777777" w:rsidR="00DC71DE" w:rsidRDefault="00DC71DE">
      <w:r>
        <w:separator/>
      </w:r>
    </w:p>
  </w:footnote>
  <w:footnote w:type="continuationSeparator" w:id="0">
    <w:p w14:paraId="6F5D6B0E" w14:textId="77777777" w:rsidR="00DC71DE" w:rsidRDefault="00DC71DE">
      <w:r>
        <w:continuationSeparator/>
      </w:r>
    </w:p>
  </w:footnote>
  <w:footnote w:type="continuationNotice" w:id="1">
    <w:p w14:paraId="6A8541EC" w14:textId="77777777" w:rsidR="00DC71DE" w:rsidRDefault="00DC71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3A6A84BE"/>
    <w:lvl w:ilvl="0">
      <w:start w:val="1"/>
      <w:numFmt w:val="decimal"/>
      <w:lvlText w:val="%1."/>
      <w:lvlJc w:val="left"/>
      <w:pPr>
        <w:tabs>
          <w:tab w:val="num" w:pos="360"/>
        </w:tabs>
        <w:ind w:left="340" w:hanging="340"/>
      </w:pPr>
      <w:rPr>
        <w:rFonts w:hint="default"/>
        <w:b w:val="0"/>
        <w:i w:val="0"/>
        <w:strike w:val="0"/>
        <w:color w:val="000000"/>
      </w:rPr>
    </w:lvl>
  </w:abstractNum>
  <w:abstractNum w:abstractNumId="1" w15:restartNumberingAfterBreak="0">
    <w:nsid w:val="00000002"/>
    <w:multiLevelType w:val="singleLevel"/>
    <w:tmpl w:val="00000002"/>
    <w:name w:val="WW8Num5"/>
    <w:lvl w:ilvl="0">
      <w:start w:val="1"/>
      <w:numFmt w:val="decimal"/>
      <w:lvlText w:val="%1."/>
      <w:lvlJc w:val="left"/>
      <w:pPr>
        <w:tabs>
          <w:tab w:val="num" w:pos="360"/>
        </w:tabs>
      </w:pPr>
    </w:lvl>
  </w:abstractNum>
  <w:abstractNum w:abstractNumId="2" w15:restartNumberingAfterBreak="0">
    <w:nsid w:val="00000003"/>
    <w:multiLevelType w:val="multilevel"/>
    <w:tmpl w:val="B91AA556"/>
    <w:name w:val="WW8Num6"/>
    <w:lvl w:ilvl="0">
      <w:start w:val="1"/>
      <w:numFmt w:val="decimal"/>
      <w:lvlText w:val="%1."/>
      <w:lvlJc w:val="left"/>
      <w:pPr>
        <w:tabs>
          <w:tab w:val="num" w:pos="928"/>
        </w:tabs>
      </w:pPr>
      <w:rPr>
        <w:rFonts w:ascii="Times New Roman" w:eastAsia="Times New Roman" w:hAnsi="Times New Roman" w:cs="Times New Roman"/>
        <w:b w:val="0"/>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7"/>
    <w:lvl w:ilvl="0">
      <w:start w:val="1"/>
      <w:numFmt w:val="decimal"/>
      <w:lvlText w:val="%1."/>
      <w:lvlJc w:val="left"/>
      <w:pPr>
        <w:tabs>
          <w:tab w:val="num" w:pos="359"/>
        </w:tabs>
      </w:pPr>
    </w:lvl>
  </w:abstractNum>
  <w:abstractNum w:abstractNumId="4" w15:restartNumberingAfterBreak="0">
    <w:nsid w:val="00000005"/>
    <w:multiLevelType w:val="singleLevel"/>
    <w:tmpl w:val="00000005"/>
    <w:name w:val="WW8Num21"/>
    <w:lvl w:ilvl="0">
      <w:start w:val="1"/>
      <w:numFmt w:val="decimal"/>
      <w:lvlText w:val="%1."/>
      <w:lvlJc w:val="left"/>
      <w:pPr>
        <w:tabs>
          <w:tab w:val="num" w:pos="360"/>
        </w:tabs>
      </w:pPr>
      <w:rPr>
        <w:i w:val="0"/>
        <w:color w:val="000000"/>
      </w:rPr>
    </w:lvl>
  </w:abstractNum>
  <w:abstractNum w:abstractNumId="5" w15:restartNumberingAfterBreak="0">
    <w:nsid w:val="00000006"/>
    <w:multiLevelType w:val="singleLevel"/>
    <w:tmpl w:val="95CC4350"/>
    <w:name w:val="WW8Num23"/>
    <w:lvl w:ilvl="0">
      <w:start w:val="1"/>
      <w:numFmt w:val="decimal"/>
      <w:lvlText w:val="%1."/>
      <w:lvlJc w:val="left"/>
      <w:pPr>
        <w:tabs>
          <w:tab w:val="num" w:pos="360"/>
        </w:tabs>
      </w:pPr>
      <w:rPr>
        <w:color w:val="000000"/>
      </w:rPr>
    </w:lvl>
  </w:abstractNum>
  <w:abstractNum w:abstractNumId="6" w15:restartNumberingAfterBreak="0">
    <w:nsid w:val="00000007"/>
    <w:multiLevelType w:val="singleLevel"/>
    <w:tmpl w:val="00000007"/>
    <w:lvl w:ilvl="0">
      <w:start w:val="1"/>
      <w:numFmt w:val="decimal"/>
      <w:lvlText w:val="%1."/>
      <w:lvlJc w:val="left"/>
      <w:pPr>
        <w:tabs>
          <w:tab w:val="num" w:pos="360"/>
        </w:tabs>
      </w:pPr>
    </w:lvl>
  </w:abstractNum>
  <w:abstractNum w:abstractNumId="7" w15:restartNumberingAfterBreak="0">
    <w:nsid w:val="00000008"/>
    <w:multiLevelType w:val="singleLevel"/>
    <w:tmpl w:val="00000008"/>
    <w:name w:val="WW8Num28"/>
    <w:lvl w:ilvl="0">
      <w:start w:val="1"/>
      <w:numFmt w:val="decimal"/>
      <w:lvlText w:val="%1."/>
      <w:lvlJc w:val="left"/>
      <w:pPr>
        <w:tabs>
          <w:tab w:val="num" w:pos="349"/>
        </w:tabs>
      </w:pPr>
    </w:lvl>
  </w:abstractNum>
  <w:abstractNum w:abstractNumId="8" w15:restartNumberingAfterBreak="0">
    <w:nsid w:val="00000009"/>
    <w:multiLevelType w:val="multilevel"/>
    <w:tmpl w:val="0000000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00000A"/>
    <w:multiLevelType w:val="multilevel"/>
    <w:tmpl w:val="0000000A"/>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lvl w:ilvl="0">
      <w:start w:val="1"/>
      <w:numFmt w:val="decimal"/>
      <w:lvlText w:val="%1."/>
      <w:lvlJc w:val="left"/>
      <w:pPr>
        <w:tabs>
          <w:tab w:val="num" w:pos="720"/>
        </w:tabs>
      </w:pPr>
    </w:lvl>
    <w:lvl w:ilvl="1">
      <w:start w:val="7"/>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1" w15:restartNumberingAfterBreak="0">
    <w:nsid w:val="0000000C"/>
    <w:multiLevelType w:val="multilevel"/>
    <w:tmpl w:val="0000000C"/>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2" w15:restartNumberingAfterBreak="0">
    <w:nsid w:val="05886094"/>
    <w:multiLevelType w:val="multilevel"/>
    <w:tmpl w:val="D9F065A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89749C6"/>
    <w:multiLevelType w:val="hybridMultilevel"/>
    <w:tmpl w:val="CD20ED46"/>
    <w:lvl w:ilvl="0" w:tplc="FB220908">
      <w:numFmt w:val="bullet"/>
      <w:lvlText w:val="-"/>
      <w:lvlJc w:val="left"/>
      <w:pPr>
        <w:ind w:left="360" w:hanging="360"/>
      </w:pPr>
      <w:rPr>
        <w:rFonts w:ascii="Corbel" w:eastAsia="Calibri" w:hAnsi="Corbel"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0E150077"/>
    <w:multiLevelType w:val="hybridMultilevel"/>
    <w:tmpl w:val="76FAD736"/>
    <w:lvl w:ilvl="0" w:tplc="04050017">
      <w:start w:val="1"/>
      <w:numFmt w:val="lowerLetter"/>
      <w:lvlText w:val="%1)"/>
      <w:lvlJc w:val="left"/>
      <w:pPr>
        <w:tabs>
          <w:tab w:val="num" w:pos="720"/>
        </w:tabs>
        <w:ind w:left="720" w:hanging="360"/>
      </w:pPr>
      <w:rPr>
        <w:rFonts w:hint="default"/>
        <w:color w:val="auto"/>
      </w:rPr>
    </w:lvl>
    <w:lvl w:ilvl="1" w:tplc="ECD4242E">
      <w:numFmt w:val="bullet"/>
      <w:lvlText w:val="-"/>
      <w:lvlJc w:val="left"/>
      <w:pPr>
        <w:tabs>
          <w:tab w:val="num" w:pos="1650"/>
        </w:tabs>
        <w:ind w:left="1650" w:hanging="570"/>
      </w:pPr>
      <w:rPr>
        <w:rFonts w:ascii="Times New Roman" w:eastAsia="Times New Roman" w:hAnsi="Times New Roman" w:cs="Times New Roman"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0F3C22B1"/>
    <w:multiLevelType w:val="hybridMultilevel"/>
    <w:tmpl w:val="36EC5BD8"/>
    <w:lvl w:ilvl="0" w:tplc="6E4CDC88">
      <w:start w:val="1"/>
      <w:numFmt w:val="bullet"/>
      <w:lvlText w:val="-"/>
      <w:lvlJc w:val="left"/>
      <w:pPr>
        <w:ind w:left="1866" w:hanging="360"/>
      </w:pPr>
      <w:rPr>
        <w:rFonts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16" w15:restartNumberingAfterBreak="0">
    <w:nsid w:val="147C13B5"/>
    <w:multiLevelType w:val="hybridMultilevel"/>
    <w:tmpl w:val="A89E4A66"/>
    <w:lvl w:ilvl="0" w:tplc="1AB4F45E">
      <w:start w:val="1"/>
      <w:numFmt w:val="upperRoman"/>
      <w:lvlText w:val="%1."/>
      <w:lvlJc w:val="left"/>
      <w:pPr>
        <w:tabs>
          <w:tab w:val="num" w:pos="1080"/>
        </w:tabs>
        <w:ind w:left="1080" w:hanging="720"/>
      </w:pPr>
      <w:rPr>
        <w:rFonts w:hint="default"/>
      </w:rPr>
    </w:lvl>
    <w:lvl w:ilvl="1" w:tplc="69B4B42E">
      <w:start w:val="1"/>
      <w:numFmt w:val="decimal"/>
      <w:lvlText w:val="%2."/>
      <w:lvlJc w:val="left"/>
      <w:pPr>
        <w:tabs>
          <w:tab w:val="num" w:pos="1440"/>
        </w:tabs>
        <w:ind w:left="1440" w:hanging="360"/>
      </w:pPr>
      <w:rPr>
        <w:rFonts w:hint="default"/>
      </w:rPr>
    </w:lvl>
    <w:lvl w:ilvl="2" w:tplc="25383A5E">
      <w:start w:val="1"/>
      <w:numFmt w:val="lowerLetter"/>
      <w:lvlText w:val="%3)"/>
      <w:lvlJc w:val="left"/>
      <w:pPr>
        <w:tabs>
          <w:tab w:val="num" w:pos="2340"/>
        </w:tabs>
        <w:ind w:left="2340" w:hanging="360"/>
      </w:pPr>
      <w:rPr>
        <w:rFonts w:hint="default"/>
      </w:rPr>
    </w:lvl>
    <w:lvl w:ilvl="3" w:tplc="85DE3E94">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95A5645"/>
    <w:multiLevelType w:val="singleLevel"/>
    <w:tmpl w:val="00000007"/>
    <w:lvl w:ilvl="0">
      <w:start w:val="1"/>
      <w:numFmt w:val="decimal"/>
      <w:lvlText w:val="%1."/>
      <w:lvlJc w:val="left"/>
      <w:pPr>
        <w:tabs>
          <w:tab w:val="num" w:pos="360"/>
        </w:tabs>
      </w:pPr>
    </w:lvl>
  </w:abstractNum>
  <w:abstractNum w:abstractNumId="18" w15:restartNumberingAfterBreak="0">
    <w:nsid w:val="2429723E"/>
    <w:multiLevelType w:val="hybridMultilevel"/>
    <w:tmpl w:val="07827B4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E39069E"/>
    <w:multiLevelType w:val="singleLevel"/>
    <w:tmpl w:val="42E6E30E"/>
    <w:lvl w:ilvl="0">
      <w:start w:val="1"/>
      <w:numFmt w:val="decimal"/>
      <w:lvlText w:val="%1."/>
      <w:lvlJc w:val="left"/>
      <w:pPr>
        <w:tabs>
          <w:tab w:val="num" w:pos="360"/>
        </w:tabs>
        <w:ind w:left="340" w:hanging="340"/>
      </w:pPr>
      <w:rPr>
        <w:rFonts w:hint="default"/>
      </w:rPr>
    </w:lvl>
  </w:abstractNum>
  <w:abstractNum w:abstractNumId="20" w15:restartNumberingAfterBreak="0">
    <w:nsid w:val="31670417"/>
    <w:multiLevelType w:val="hybridMultilevel"/>
    <w:tmpl w:val="C9127042"/>
    <w:lvl w:ilvl="0" w:tplc="1356423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31A77FA9"/>
    <w:multiLevelType w:val="hybridMultilevel"/>
    <w:tmpl w:val="8F261730"/>
    <w:lvl w:ilvl="0" w:tplc="5BA0A0C6">
      <w:start w:val="1"/>
      <w:numFmt w:val="decimal"/>
      <w:lvlText w:val="%1."/>
      <w:lvlJc w:val="left"/>
      <w:pPr>
        <w:tabs>
          <w:tab w:val="num" w:pos="360"/>
        </w:tabs>
      </w:pPr>
      <w:rPr>
        <w:i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6D82E44"/>
    <w:multiLevelType w:val="hybridMultilevel"/>
    <w:tmpl w:val="44DE88A4"/>
    <w:lvl w:ilvl="0" w:tplc="D92CF786">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785DF3"/>
    <w:multiLevelType w:val="hybridMultilevel"/>
    <w:tmpl w:val="09009EE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3D867C46"/>
    <w:multiLevelType w:val="singleLevel"/>
    <w:tmpl w:val="42E6E30E"/>
    <w:lvl w:ilvl="0">
      <w:start w:val="1"/>
      <w:numFmt w:val="decimal"/>
      <w:lvlText w:val="%1."/>
      <w:lvlJc w:val="left"/>
      <w:pPr>
        <w:tabs>
          <w:tab w:val="num" w:pos="360"/>
        </w:tabs>
        <w:ind w:left="340" w:hanging="340"/>
      </w:pPr>
      <w:rPr>
        <w:rFonts w:hint="default"/>
      </w:rPr>
    </w:lvl>
  </w:abstractNum>
  <w:abstractNum w:abstractNumId="25" w15:restartNumberingAfterBreak="0">
    <w:nsid w:val="49743B97"/>
    <w:multiLevelType w:val="singleLevel"/>
    <w:tmpl w:val="42E6E30E"/>
    <w:lvl w:ilvl="0">
      <w:start w:val="1"/>
      <w:numFmt w:val="decimal"/>
      <w:lvlText w:val="%1."/>
      <w:lvlJc w:val="left"/>
      <w:pPr>
        <w:tabs>
          <w:tab w:val="num" w:pos="360"/>
        </w:tabs>
        <w:ind w:left="340" w:hanging="340"/>
      </w:pPr>
      <w:rPr>
        <w:rFonts w:hint="default"/>
      </w:rPr>
    </w:lvl>
  </w:abstractNum>
  <w:abstractNum w:abstractNumId="26" w15:restartNumberingAfterBreak="0">
    <w:nsid w:val="524736BF"/>
    <w:multiLevelType w:val="singleLevel"/>
    <w:tmpl w:val="00000007"/>
    <w:lvl w:ilvl="0">
      <w:start w:val="1"/>
      <w:numFmt w:val="decimal"/>
      <w:lvlText w:val="%1."/>
      <w:lvlJc w:val="left"/>
      <w:pPr>
        <w:tabs>
          <w:tab w:val="num" w:pos="360"/>
        </w:tabs>
      </w:pPr>
    </w:lvl>
  </w:abstractNum>
  <w:abstractNum w:abstractNumId="27" w15:restartNumberingAfterBreak="0">
    <w:nsid w:val="54C43612"/>
    <w:multiLevelType w:val="singleLevel"/>
    <w:tmpl w:val="12163F28"/>
    <w:lvl w:ilvl="0">
      <w:start w:val="1"/>
      <w:numFmt w:val="lowerLetter"/>
      <w:lvlText w:val="%1."/>
      <w:lvlJc w:val="left"/>
      <w:pPr>
        <w:tabs>
          <w:tab w:val="num" w:pos="720"/>
        </w:tabs>
        <w:ind w:left="720" w:hanging="360"/>
      </w:pPr>
    </w:lvl>
  </w:abstractNum>
  <w:abstractNum w:abstractNumId="28" w15:restartNumberingAfterBreak="0">
    <w:nsid w:val="5CA324AD"/>
    <w:multiLevelType w:val="singleLevel"/>
    <w:tmpl w:val="00000007"/>
    <w:lvl w:ilvl="0">
      <w:start w:val="1"/>
      <w:numFmt w:val="decimal"/>
      <w:lvlText w:val="%1."/>
      <w:lvlJc w:val="left"/>
      <w:pPr>
        <w:tabs>
          <w:tab w:val="num" w:pos="360"/>
        </w:tabs>
      </w:pPr>
    </w:lvl>
  </w:abstractNum>
  <w:abstractNum w:abstractNumId="29" w15:restartNumberingAfterBreak="0">
    <w:nsid w:val="62995474"/>
    <w:multiLevelType w:val="hybridMultilevel"/>
    <w:tmpl w:val="CDB42DDA"/>
    <w:lvl w:ilvl="0" w:tplc="6D1A12E6">
      <w:start w:val="1"/>
      <w:numFmt w:val="decimal"/>
      <w:lvlText w:val="%1."/>
      <w:lvlJc w:val="left"/>
      <w:pPr>
        <w:tabs>
          <w:tab w:val="num" w:pos="720"/>
        </w:tabs>
        <w:ind w:left="720" w:hanging="360"/>
      </w:pPr>
      <w:rPr>
        <w:rFonts w:hint="default"/>
        <w:sz w:val="24"/>
        <w:szCs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790A2F"/>
    <w:multiLevelType w:val="hybridMultilevel"/>
    <w:tmpl w:val="9676D4FC"/>
    <w:lvl w:ilvl="0" w:tplc="6E4CDC88">
      <w:start w:val="1"/>
      <w:numFmt w:val="bullet"/>
      <w:lvlText w:val="-"/>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6BD054EE"/>
    <w:multiLevelType w:val="hybridMultilevel"/>
    <w:tmpl w:val="EFF05D68"/>
    <w:lvl w:ilvl="0" w:tplc="033679A0">
      <w:start w:val="25"/>
      <w:numFmt w:val="bullet"/>
      <w:lvlText w:val="-"/>
      <w:lvlJc w:val="left"/>
      <w:pPr>
        <w:ind w:left="1440" w:hanging="360"/>
      </w:pPr>
      <w:rPr>
        <w:rFonts w:ascii="Arial" w:eastAsia="Times New Roman" w:hAnsi="Arial" w:cs="Tahoma"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ECF408B"/>
    <w:multiLevelType w:val="hybridMultilevel"/>
    <w:tmpl w:val="C4B274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B24115"/>
    <w:multiLevelType w:val="hybridMultilevel"/>
    <w:tmpl w:val="3A764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EA2F55"/>
    <w:multiLevelType w:val="hybridMultilevel"/>
    <w:tmpl w:val="2366867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89361E4"/>
    <w:multiLevelType w:val="hybridMultilevel"/>
    <w:tmpl w:val="6E5E8DE0"/>
    <w:lvl w:ilvl="0" w:tplc="ECD4242E">
      <w:numFmt w:val="bullet"/>
      <w:lvlText w:val="-"/>
      <w:lvlJc w:val="left"/>
      <w:pPr>
        <w:ind w:left="1485" w:hanging="360"/>
      </w:pPr>
      <w:rPr>
        <w:rFonts w:ascii="Times New Roman" w:eastAsia="Times New Roman" w:hAnsi="Times New Roman" w:cs="Times New Roman" w:hint="default"/>
        <w:color w:val="auto"/>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6" w15:restartNumberingAfterBreak="0">
    <w:nsid w:val="7A3B0023"/>
    <w:multiLevelType w:val="hybridMultilevel"/>
    <w:tmpl w:val="8F94B4E0"/>
    <w:lvl w:ilvl="0" w:tplc="950EA3B2">
      <w:start w:val="1"/>
      <w:numFmt w:val="decimal"/>
      <w:lvlText w:val="%1."/>
      <w:lvlJc w:val="left"/>
      <w:pPr>
        <w:tabs>
          <w:tab w:val="num" w:pos="360"/>
        </w:tabs>
        <w:ind w:left="340" w:hanging="340"/>
      </w:pPr>
      <w:rPr>
        <w:rFonts w:hint="default"/>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6"/>
  </w:num>
  <w:num w:numId="15">
    <w:abstractNumId w:val="34"/>
  </w:num>
  <w:num w:numId="16">
    <w:abstractNumId w:val="23"/>
  </w:num>
  <w:num w:numId="17">
    <w:abstractNumId w:val="21"/>
  </w:num>
  <w:num w:numId="18">
    <w:abstractNumId w:val="36"/>
  </w:num>
  <w:num w:numId="19">
    <w:abstractNumId w:val="12"/>
  </w:num>
  <w:num w:numId="20">
    <w:abstractNumId w:val="35"/>
  </w:num>
  <w:num w:numId="21">
    <w:abstractNumId w:val="32"/>
  </w:num>
  <w:num w:numId="22">
    <w:abstractNumId w:val="22"/>
  </w:num>
  <w:num w:numId="23">
    <w:abstractNumId w:val="29"/>
  </w:num>
  <w:num w:numId="24">
    <w:abstractNumId w:val="30"/>
  </w:num>
  <w:num w:numId="25">
    <w:abstractNumId w:val="15"/>
  </w:num>
  <w:num w:numId="26">
    <w:abstractNumId w:val="31"/>
  </w:num>
  <w:num w:numId="27">
    <w:abstractNumId w:val="28"/>
  </w:num>
  <w:num w:numId="28">
    <w:abstractNumId w:val="17"/>
  </w:num>
  <w:num w:numId="29">
    <w:abstractNumId w:val="33"/>
  </w:num>
  <w:num w:numId="30">
    <w:abstractNumId w:val="24"/>
  </w:num>
  <w:num w:numId="31">
    <w:abstractNumId w:val="19"/>
  </w:num>
  <w:num w:numId="32">
    <w:abstractNumId w:val="26"/>
  </w:num>
  <w:num w:numId="33">
    <w:abstractNumId w:val="25"/>
  </w:num>
  <w:num w:numId="34">
    <w:abstractNumId w:val="27"/>
    <w:lvlOverride w:ilvl="0">
      <w:startOverride w:val="1"/>
    </w:lvlOverride>
  </w:num>
  <w:num w:numId="35">
    <w:abstractNumId w:val="13"/>
  </w:num>
  <w:num w:numId="36">
    <w:abstractNumId w:val="18"/>
  </w:num>
  <w:num w:numId="37">
    <w:abstractNumId w:val="6"/>
    <w:lvlOverride w:ilvl="0">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7F"/>
    <w:rsid w:val="0000035A"/>
    <w:rsid w:val="00005894"/>
    <w:rsid w:val="00006BE7"/>
    <w:rsid w:val="00011F99"/>
    <w:rsid w:val="00012935"/>
    <w:rsid w:val="00013EE0"/>
    <w:rsid w:val="00014456"/>
    <w:rsid w:val="000173E5"/>
    <w:rsid w:val="0002443B"/>
    <w:rsid w:val="000251EE"/>
    <w:rsid w:val="000351A6"/>
    <w:rsid w:val="0005233A"/>
    <w:rsid w:val="00052419"/>
    <w:rsid w:val="00064F82"/>
    <w:rsid w:val="00065590"/>
    <w:rsid w:val="00066C9D"/>
    <w:rsid w:val="000769AE"/>
    <w:rsid w:val="000774B2"/>
    <w:rsid w:val="00080980"/>
    <w:rsid w:val="00080F41"/>
    <w:rsid w:val="00085D3B"/>
    <w:rsid w:val="0008738A"/>
    <w:rsid w:val="00090A56"/>
    <w:rsid w:val="0009547A"/>
    <w:rsid w:val="00096012"/>
    <w:rsid w:val="00096BB5"/>
    <w:rsid w:val="000A0A32"/>
    <w:rsid w:val="000A11A9"/>
    <w:rsid w:val="000A561B"/>
    <w:rsid w:val="000D0371"/>
    <w:rsid w:val="000F0927"/>
    <w:rsid w:val="000F0D60"/>
    <w:rsid w:val="000F3063"/>
    <w:rsid w:val="000F792F"/>
    <w:rsid w:val="00100696"/>
    <w:rsid w:val="00100BAD"/>
    <w:rsid w:val="001045DF"/>
    <w:rsid w:val="00114685"/>
    <w:rsid w:val="00120B96"/>
    <w:rsid w:val="00126A44"/>
    <w:rsid w:val="00140454"/>
    <w:rsid w:val="001405CE"/>
    <w:rsid w:val="001432FF"/>
    <w:rsid w:val="001542B2"/>
    <w:rsid w:val="0015720C"/>
    <w:rsid w:val="00162A73"/>
    <w:rsid w:val="00163B2C"/>
    <w:rsid w:val="00163BBA"/>
    <w:rsid w:val="00163F6A"/>
    <w:rsid w:val="001665FE"/>
    <w:rsid w:val="0017102E"/>
    <w:rsid w:val="00181F8A"/>
    <w:rsid w:val="00183F9B"/>
    <w:rsid w:val="001967CD"/>
    <w:rsid w:val="001A477D"/>
    <w:rsid w:val="001B485D"/>
    <w:rsid w:val="001B5B3F"/>
    <w:rsid w:val="001D7C51"/>
    <w:rsid w:val="001E5F07"/>
    <w:rsid w:val="00202FFA"/>
    <w:rsid w:val="00204FDD"/>
    <w:rsid w:val="002139B2"/>
    <w:rsid w:val="0021581B"/>
    <w:rsid w:val="00215E5B"/>
    <w:rsid w:val="00216A96"/>
    <w:rsid w:val="00222B3E"/>
    <w:rsid w:val="002251D1"/>
    <w:rsid w:val="00225D92"/>
    <w:rsid w:val="00240FA7"/>
    <w:rsid w:val="002440FE"/>
    <w:rsid w:val="00245676"/>
    <w:rsid w:val="002456C5"/>
    <w:rsid w:val="00261736"/>
    <w:rsid w:val="0026453C"/>
    <w:rsid w:val="00273064"/>
    <w:rsid w:val="00273365"/>
    <w:rsid w:val="00273FDF"/>
    <w:rsid w:val="00284861"/>
    <w:rsid w:val="00287C1A"/>
    <w:rsid w:val="00292170"/>
    <w:rsid w:val="00294343"/>
    <w:rsid w:val="00295493"/>
    <w:rsid w:val="002A5F56"/>
    <w:rsid w:val="002B1FAE"/>
    <w:rsid w:val="002B7D5A"/>
    <w:rsid w:val="002C10F9"/>
    <w:rsid w:val="002C1BD0"/>
    <w:rsid w:val="002C21CD"/>
    <w:rsid w:val="002C263D"/>
    <w:rsid w:val="002D20AE"/>
    <w:rsid w:val="002D738A"/>
    <w:rsid w:val="00304D62"/>
    <w:rsid w:val="00307097"/>
    <w:rsid w:val="00310578"/>
    <w:rsid w:val="00314286"/>
    <w:rsid w:val="0031733F"/>
    <w:rsid w:val="00320000"/>
    <w:rsid w:val="00335250"/>
    <w:rsid w:val="0034038A"/>
    <w:rsid w:val="00351D2F"/>
    <w:rsid w:val="00366AA4"/>
    <w:rsid w:val="003707C9"/>
    <w:rsid w:val="00371CFF"/>
    <w:rsid w:val="00381191"/>
    <w:rsid w:val="00384F50"/>
    <w:rsid w:val="00386620"/>
    <w:rsid w:val="0039666B"/>
    <w:rsid w:val="003A46FE"/>
    <w:rsid w:val="003A5408"/>
    <w:rsid w:val="003A59CA"/>
    <w:rsid w:val="003A7354"/>
    <w:rsid w:val="003A7422"/>
    <w:rsid w:val="003B2B87"/>
    <w:rsid w:val="003B3BEA"/>
    <w:rsid w:val="003C4EDA"/>
    <w:rsid w:val="003C756B"/>
    <w:rsid w:val="00400FE8"/>
    <w:rsid w:val="00413139"/>
    <w:rsid w:val="00416CB9"/>
    <w:rsid w:val="004237F5"/>
    <w:rsid w:val="00426E1A"/>
    <w:rsid w:val="004361F4"/>
    <w:rsid w:val="0044110C"/>
    <w:rsid w:val="004415B5"/>
    <w:rsid w:val="00441C7C"/>
    <w:rsid w:val="00460307"/>
    <w:rsid w:val="0046179C"/>
    <w:rsid w:val="00471EB1"/>
    <w:rsid w:val="004B16BE"/>
    <w:rsid w:val="004B21E4"/>
    <w:rsid w:val="004B7470"/>
    <w:rsid w:val="00501160"/>
    <w:rsid w:val="00503534"/>
    <w:rsid w:val="0050370C"/>
    <w:rsid w:val="00503F2C"/>
    <w:rsid w:val="00506EA1"/>
    <w:rsid w:val="005138A2"/>
    <w:rsid w:val="00514740"/>
    <w:rsid w:val="005374AC"/>
    <w:rsid w:val="00537AA0"/>
    <w:rsid w:val="00540AA2"/>
    <w:rsid w:val="00550815"/>
    <w:rsid w:val="00553487"/>
    <w:rsid w:val="005633AE"/>
    <w:rsid w:val="0056758C"/>
    <w:rsid w:val="00571493"/>
    <w:rsid w:val="00574A92"/>
    <w:rsid w:val="00580A24"/>
    <w:rsid w:val="00583934"/>
    <w:rsid w:val="00591EEE"/>
    <w:rsid w:val="005A4D33"/>
    <w:rsid w:val="005B1A48"/>
    <w:rsid w:val="005B222D"/>
    <w:rsid w:val="005B6B36"/>
    <w:rsid w:val="005C1D18"/>
    <w:rsid w:val="005C546C"/>
    <w:rsid w:val="005C5D88"/>
    <w:rsid w:val="005C7C6C"/>
    <w:rsid w:val="005D3C03"/>
    <w:rsid w:val="005D658A"/>
    <w:rsid w:val="005E1EA1"/>
    <w:rsid w:val="005E2238"/>
    <w:rsid w:val="005E40DF"/>
    <w:rsid w:val="005E53B4"/>
    <w:rsid w:val="005E5CFF"/>
    <w:rsid w:val="005E6D93"/>
    <w:rsid w:val="005F538E"/>
    <w:rsid w:val="00611DC1"/>
    <w:rsid w:val="00613345"/>
    <w:rsid w:val="0061477D"/>
    <w:rsid w:val="006161A9"/>
    <w:rsid w:val="00621A8C"/>
    <w:rsid w:val="0062435F"/>
    <w:rsid w:val="00636F02"/>
    <w:rsid w:val="00651669"/>
    <w:rsid w:val="006563EF"/>
    <w:rsid w:val="00671F9C"/>
    <w:rsid w:val="00672A8B"/>
    <w:rsid w:val="006768FA"/>
    <w:rsid w:val="00682D9F"/>
    <w:rsid w:val="00686A2F"/>
    <w:rsid w:val="00687D97"/>
    <w:rsid w:val="006947CA"/>
    <w:rsid w:val="006B2689"/>
    <w:rsid w:val="006B3796"/>
    <w:rsid w:val="006B380C"/>
    <w:rsid w:val="006C2536"/>
    <w:rsid w:val="006C3176"/>
    <w:rsid w:val="006C5496"/>
    <w:rsid w:val="006C779C"/>
    <w:rsid w:val="006D0966"/>
    <w:rsid w:val="006D0977"/>
    <w:rsid w:val="006E4DE5"/>
    <w:rsid w:val="006F2B06"/>
    <w:rsid w:val="0071484C"/>
    <w:rsid w:val="00723F19"/>
    <w:rsid w:val="0074165D"/>
    <w:rsid w:val="00745D04"/>
    <w:rsid w:val="00746AD1"/>
    <w:rsid w:val="00747446"/>
    <w:rsid w:val="0076725F"/>
    <w:rsid w:val="00773C65"/>
    <w:rsid w:val="00774FEE"/>
    <w:rsid w:val="0077646B"/>
    <w:rsid w:val="00777E31"/>
    <w:rsid w:val="00783309"/>
    <w:rsid w:val="007945AA"/>
    <w:rsid w:val="007A246D"/>
    <w:rsid w:val="007B42F6"/>
    <w:rsid w:val="007C0130"/>
    <w:rsid w:val="007C0575"/>
    <w:rsid w:val="007C15BB"/>
    <w:rsid w:val="007C2384"/>
    <w:rsid w:val="007C3EE9"/>
    <w:rsid w:val="007C54AA"/>
    <w:rsid w:val="007D0331"/>
    <w:rsid w:val="007D25E8"/>
    <w:rsid w:val="007D7E57"/>
    <w:rsid w:val="007E2F7F"/>
    <w:rsid w:val="007F6E38"/>
    <w:rsid w:val="0080354E"/>
    <w:rsid w:val="00804D22"/>
    <w:rsid w:val="008112CF"/>
    <w:rsid w:val="00813E7A"/>
    <w:rsid w:val="0081646C"/>
    <w:rsid w:val="00820E0E"/>
    <w:rsid w:val="0083297C"/>
    <w:rsid w:val="00834040"/>
    <w:rsid w:val="00835151"/>
    <w:rsid w:val="00854556"/>
    <w:rsid w:val="00855DC4"/>
    <w:rsid w:val="00871D05"/>
    <w:rsid w:val="00877A63"/>
    <w:rsid w:val="0088016E"/>
    <w:rsid w:val="00895789"/>
    <w:rsid w:val="008B4315"/>
    <w:rsid w:val="008C0217"/>
    <w:rsid w:val="008C558C"/>
    <w:rsid w:val="008F3572"/>
    <w:rsid w:val="00905CA3"/>
    <w:rsid w:val="00906ED9"/>
    <w:rsid w:val="00917A39"/>
    <w:rsid w:val="00927DA4"/>
    <w:rsid w:val="0093657F"/>
    <w:rsid w:val="009412B2"/>
    <w:rsid w:val="00946798"/>
    <w:rsid w:val="00957676"/>
    <w:rsid w:val="00957B27"/>
    <w:rsid w:val="00963C6C"/>
    <w:rsid w:val="00971E6F"/>
    <w:rsid w:val="00971F99"/>
    <w:rsid w:val="0098724D"/>
    <w:rsid w:val="00990DC9"/>
    <w:rsid w:val="009911B6"/>
    <w:rsid w:val="009A4494"/>
    <w:rsid w:val="009B5A31"/>
    <w:rsid w:val="009B7A70"/>
    <w:rsid w:val="009C0673"/>
    <w:rsid w:val="009C70A8"/>
    <w:rsid w:val="009D2797"/>
    <w:rsid w:val="009D2F50"/>
    <w:rsid w:val="009D50A1"/>
    <w:rsid w:val="009D725A"/>
    <w:rsid w:val="009E1083"/>
    <w:rsid w:val="009F3CE7"/>
    <w:rsid w:val="009F6445"/>
    <w:rsid w:val="009F6D8C"/>
    <w:rsid w:val="00A02A38"/>
    <w:rsid w:val="00A07FE7"/>
    <w:rsid w:val="00A170E5"/>
    <w:rsid w:val="00A224FE"/>
    <w:rsid w:val="00A24FC9"/>
    <w:rsid w:val="00A26696"/>
    <w:rsid w:val="00A30667"/>
    <w:rsid w:val="00A35E2A"/>
    <w:rsid w:val="00A36D52"/>
    <w:rsid w:val="00A5249A"/>
    <w:rsid w:val="00A6112B"/>
    <w:rsid w:val="00A62B1A"/>
    <w:rsid w:val="00A671AB"/>
    <w:rsid w:val="00A70EAA"/>
    <w:rsid w:val="00A7397F"/>
    <w:rsid w:val="00A7402A"/>
    <w:rsid w:val="00A9006B"/>
    <w:rsid w:val="00A9106F"/>
    <w:rsid w:val="00AA146F"/>
    <w:rsid w:val="00AA3A60"/>
    <w:rsid w:val="00AA3B6A"/>
    <w:rsid w:val="00AB38BB"/>
    <w:rsid w:val="00AB3E6F"/>
    <w:rsid w:val="00AB592B"/>
    <w:rsid w:val="00AC41A3"/>
    <w:rsid w:val="00AD3B27"/>
    <w:rsid w:val="00AE7869"/>
    <w:rsid w:val="00AF58D8"/>
    <w:rsid w:val="00AF74A9"/>
    <w:rsid w:val="00B128E3"/>
    <w:rsid w:val="00B2008B"/>
    <w:rsid w:val="00B2495E"/>
    <w:rsid w:val="00B26830"/>
    <w:rsid w:val="00B35B61"/>
    <w:rsid w:val="00B57BC2"/>
    <w:rsid w:val="00B81629"/>
    <w:rsid w:val="00B81FF1"/>
    <w:rsid w:val="00B919B7"/>
    <w:rsid w:val="00B92D38"/>
    <w:rsid w:val="00B93E8F"/>
    <w:rsid w:val="00BA6459"/>
    <w:rsid w:val="00BB0A16"/>
    <w:rsid w:val="00BC1E43"/>
    <w:rsid w:val="00BE4DAD"/>
    <w:rsid w:val="00BE576E"/>
    <w:rsid w:val="00BE66A2"/>
    <w:rsid w:val="00BE7C78"/>
    <w:rsid w:val="00BE7F24"/>
    <w:rsid w:val="00C003D5"/>
    <w:rsid w:val="00C0359D"/>
    <w:rsid w:val="00C053ED"/>
    <w:rsid w:val="00C05DF9"/>
    <w:rsid w:val="00C10993"/>
    <w:rsid w:val="00C116DB"/>
    <w:rsid w:val="00C131E1"/>
    <w:rsid w:val="00C146DD"/>
    <w:rsid w:val="00C33FAB"/>
    <w:rsid w:val="00C3478C"/>
    <w:rsid w:val="00C6341D"/>
    <w:rsid w:val="00C730E6"/>
    <w:rsid w:val="00C75095"/>
    <w:rsid w:val="00C759C6"/>
    <w:rsid w:val="00C80AA8"/>
    <w:rsid w:val="00C82FC3"/>
    <w:rsid w:val="00C92E5D"/>
    <w:rsid w:val="00CA690F"/>
    <w:rsid w:val="00CA76A4"/>
    <w:rsid w:val="00CB2791"/>
    <w:rsid w:val="00CC3460"/>
    <w:rsid w:val="00CC7DA8"/>
    <w:rsid w:val="00CE7535"/>
    <w:rsid w:val="00CF00DF"/>
    <w:rsid w:val="00CF19B2"/>
    <w:rsid w:val="00CF3818"/>
    <w:rsid w:val="00D00D8A"/>
    <w:rsid w:val="00D00E04"/>
    <w:rsid w:val="00D0354F"/>
    <w:rsid w:val="00D04D1D"/>
    <w:rsid w:val="00D073D9"/>
    <w:rsid w:val="00D13EB3"/>
    <w:rsid w:val="00D245A2"/>
    <w:rsid w:val="00D25EB2"/>
    <w:rsid w:val="00D31BD0"/>
    <w:rsid w:val="00D34053"/>
    <w:rsid w:val="00D445FE"/>
    <w:rsid w:val="00D47E69"/>
    <w:rsid w:val="00D51D40"/>
    <w:rsid w:val="00D54F56"/>
    <w:rsid w:val="00D61FAE"/>
    <w:rsid w:val="00D7106B"/>
    <w:rsid w:val="00D71DC3"/>
    <w:rsid w:val="00D7659D"/>
    <w:rsid w:val="00D76BCC"/>
    <w:rsid w:val="00D77EDA"/>
    <w:rsid w:val="00D826A5"/>
    <w:rsid w:val="00D84D96"/>
    <w:rsid w:val="00D87EB3"/>
    <w:rsid w:val="00DA1D58"/>
    <w:rsid w:val="00DB0A84"/>
    <w:rsid w:val="00DB277D"/>
    <w:rsid w:val="00DB3657"/>
    <w:rsid w:val="00DC215A"/>
    <w:rsid w:val="00DC3118"/>
    <w:rsid w:val="00DC5DF5"/>
    <w:rsid w:val="00DC6921"/>
    <w:rsid w:val="00DC71DE"/>
    <w:rsid w:val="00DD1526"/>
    <w:rsid w:val="00DD469F"/>
    <w:rsid w:val="00DD718E"/>
    <w:rsid w:val="00DE0E0A"/>
    <w:rsid w:val="00DE3CF8"/>
    <w:rsid w:val="00DE5981"/>
    <w:rsid w:val="00DE73B9"/>
    <w:rsid w:val="00DE7576"/>
    <w:rsid w:val="00DE7AC1"/>
    <w:rsid w:val="00DF366A"/>
    <w:rsid w:val="00E01E44"/>
    <w:rsid w:val="00E033BB"/>
    <w:rsid w:val="00E061BA"/>
    <w:rsid w:val="00E252C4"/>
    <w:rsid w:val="00E25C0A"/>
    <w:rsid w:val="00E30B95"/>
    <w:rsid w:val="00E310FA"/>
    <w:rsid w:val="00E34462"/>
    <w:rsid w:val="00E35FDB"/>
    <w:rsid w:val="00E42069"/>
    <w:rsid w:val="00E4780A"/>
    <w:rsid w:val="00E51298"/>
    <w:rsid w:val="00E52BB0"/>
    <w:rsid w:val="00E5449D"/>
    <w:rsid w:val="00E60A3D"/>
    <w:rsid w:val="00E70DEB"/>
    <w:rsid w:val="00E76C9E"/>
    <w:rsid w:val="00E80A49"/>
    <w:rsid w:val="00E83E04"/>
    <w:rsid w:val="00E84A49"/>
    <w:rsid w:val="00E872D4"/>
    <w:rsid w:val="00EA5E34"/>
    <w:rsid w:val="00EA68E0"/>
    <w:rsid w:val="00EB2FD0"/>
    <w:rsid w:val="00EB6812"/>
    <w:rsid w:val="00EB6E68"/>
    <w:rsid w:val="00EB76D3"/>
    <w:rsid w:val="00EC3137"/>
    <w:rsid w:val="00ED1167"/>
    <w:rsid w:val="00ED18C0"/>
    <w:rsid w:val="00ED672D"/>
    <w:rsid w:val="00EF03B6"/>
    <w:rsid w:val="00EF18DB"/>
    <w:rsid w:val="00F0432A"/>
    <w:rsid w:val="00F06660"/>
    <w:rsid w:val="00F071A0"/>
    <w:rsid w:val="00F20291"/>
    <w:rsid w:val="00F275B6"/>
    <w:rsid w:val="00F329A7"/>
    <w:rsid w:val="00F332BB"/>
    <w:rsid w:val="00F45F34"/>
    <w:rsid w:val="00F46161"/>
    <w:rsid w:val="00F52A47"/>
    <w:rsid w:val="00F55BC1"/>
    <w:rsid w:val="00F612C0"/>
    <w:rsid w:val="00F67FD9"/>
    <w:rsid w:val="00F70CF2"/>
    <w:rsid w:val="00F7302C"/>
    <w:rsid w:val="00F73C01"/>
    <w:rsid w:val="00F73E77"/>
    <w:rsid w:val="00F77610"/>
    <w:rsid w:val="00F81EDA"/>
    <w:rsid w:val="00F84908"/>
    <w:rsid w:val="00F939D3"/>
    <w:rsid w:val="00F95442"/>
    <w:rsid w:val="00FB5419"/>
    <w:rsid w:val="00FE63F0"/>
    <w:rsid w:val="00FF76E9"/>
    <w:rsid w:val="00FF7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109CA"/>
  <w15:chartTrackingRefBased/>
  <w15:docId w15:val="{8AB58A0A-FCC8-4CC4-9DBB-6D2080B3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outlineLvl w:val="0"/>
    </w:pPr>
    <w:rPr>
      <w:szCs w:val="20"/>
    </w:rPr>
  </w:style>
  <w:style w:type="paragraph" w:styleId="Nadpis2">
    <w:name w:val="heading 2"/>
    <w:basedOn w:val="Normln"/>
    <w:next w:val="Normln"/>
    <w:qFormat/>
    <w:pPr>
      <w:keepNext/>
      <w:jc w:val="center"/>
      <w:outlineLvl w:val="1"/>
    </w:pPr>
    <w:rPr>
      <w:szCs w:val="20"/>
    </w:rPr>
  </w:style>
  <w:style w:type="paragraph" w:styleId="Nadpis3">
    <w:name w:val="heading 3"/>
    <w:basedOn w:val="Normln"/>
    <w:next w:val="Normln"/>
    <w:qFormat/>
    <w:pPr>
      <w:keepNext/>
      <w:ind w:left="360"/>
      <w:jc w:val="center"/>
      <w:outlineLvl w:val="2"/>
    </w:pPr>
    <w:rPr>
      <w:szCs w:val="20"/>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jc w:val="both"/>
      <w:outlineLvl w:val="5"/>
    </w:pPr>
    <w:rPr>
      <w:szCs w:val="20"/>
    </w:rPr>
  </w:style>
  <w:style w:type="paragraph" w:styleId="Nadpis7">
    <w:name w:val="heading 7"/>
    <w:basedOn w:val="Normln"/>
    <w:next w:val="Normln"/>
    <w:qFormat/>
    <w:pPr>
      <w:keepNext/>
      <w:jc w:val="both"/>
      <w:outlineLvl w:val="6"/>
    </w:pPr>
    <w:rPr>
      <w:b/>
      <w:bCs/>
      <w:szCs w:val="20"/>
    </w:rPr>
  </w:style>
  <w:style w:type="paragraph" w:styleId="Nadpis8">
    <w:name w:val="heading 8"/>
    <w:basedOn w:val="Normln"/>
    <w:next w:val="Normln"/>
    <w:qFormat/>
    <w:pPr>
      <w:keepNext/>
      <w:ind w:left="-708" w:hanging="1"/>
      <w:jc w:val="both"/>
      <w:outlineLvl w:val="7"/>
    </w:pPr>
    <w:rPr>
      <w:b/>
      <w:bCs/>
      <w:color w:val="FF0000"/>
      <w:u w:val="single"/>
    </w:rPr>
  </w:style>
  <w:style w:type="paragraph" w:styleId="Nadpis9">
    <w:name w:val="heading 9"/>
    <w:basedOn w:val="Normln"/>
    <w:next w:val="Normln"/>
    <w:qFormat/>
    <w:pPr>
      <w:keepNext/>
      <w:jc w:val="both"/>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Pr>
      <w:i w:val="0"/>
      <w:color w:val="000000"/>
    </w:rPr>
  </w:style>
  <w:style w:type="character" w:customStyle="1" w:styleId="WW8Num6z0">
    <w:name w:val="WW8Num6z0"/>
    <w:rPr>
      <w:rFonts w:ascii="Times New Roman" w:eastAsia="Times New Roman" w:hAnsi="Times New Roman" w:cs="Times New Roman"/>
    </w:rPr>
  </w:style>
  <w:style w:type="character" w:customStyle="1" w:styleId="WW8Num9z0">
    <w:name w:val="WW8Num9z0"/>
    <w:rPr>
      <w:rFonts w:ascii="Times New Roman" w:hAnsi="Times New Roman"/>
      <w:b w:val="0"/>
      <w:i w:val="0"/>
      <w:sz w:val="24"/>
      <w:u w:val="none"/>
    </w:rPr>
  </w:style>
  <w:style w:type="character" w:customStyle="1" w:styleId="WW8Num13z0">
    <w:name w:val="WW8Num13z0"/>
    <w:rPr>
      <w:rFonts w:ascii="Times New Roman" w:hAnsi="Times New Roman"/>
      <w:b/>
      <w:i w:val="0"/>
      <w:sz w:val="24"/>
      <w:u w:val="none"/>
    </w:rPr>
  </w:style>
  <w:style w:type="character" w:customStyle="1" w:styleId="WW8Num15z0">
    <w:name w:val="WW8Num15z0"/>
    <w:rPr>
      <w:rFonts w:ascii="Times New Roman" w:hAnsi="Times New Roman"/>
      <w:b w:val="0"/>
      <w:i w:val="0"/>
      <w:sz w:val="24"/>
      <w:u w:val="none"/>
    </w:rPr>
  </w:style>
  <w:style w:type="character" w:customStyle="1" w:styleId="WW8Num19z0">
    <w:name w:val="WW8Num19z0"/>
    <w:rPr>
      <w:rFonts w:ascii="Times New Roman" w:hAnsi="Times New Roman"/>
      <w:b/>
      <w:i w:val="0"/>
      <w:sz w:val="24"/>
      <w:u w:val="none"/>
    </w:rPr>
  </w:style>
  <w:style w:type="character" w:customStyle="1" w:styleId="WW8Num20z0">
    <w:name w:val="WW8Num20z0"/>
    <w:rPr>
      <w:rFonts w:ascii="Times New Roman" w:hAnsi="Times New Roman"/>
      <w:b w:val="0"/>
      <w:i w:val="0"/>
      <w:sz w:val="24"/>
      <w:u w:val="none"/>
    </w:rPr>
  </w:style>
  <w:style w:type="character" w:customStyle="1" w:styleId="WW8Num21z0">
    <w:name w:val="WW8Num21z0"/>
    <w:rPr>
      <w:i w:val="0"/>
      <w:color w:val="000000"/>
    </w:rPr>
  </w:style>
  <w:style w:type="character" w:customStyle="1" w:styleId="Standardnpsmoodstavce1">
    <w:name w:val="Standardní písmo odstavce1"/>
    <w:semiHidden/>
  </w:style>
  <w:style w:type="character" w:styleId="slostrnky">
    <w:name w:val="page number"/>
    <w:basedOn w:val="Standardnpsmo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jc w:val="both"/>
    </w:pPr>
    <w:rPr>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zev">
    <w:name w:val="Title"/>
    <w:basedOn w:val="Normln"/>
    <w:next w:val="Podtitul"/>
    <w:qFormat/>
    <w:pPr>
      <w:jc w:val="center"/>
    </w:pPr>
    <w:rPr>
      <w:szCs w:val="20"/>
    </w:rPr>
  </w:style>
  <w:style w:type="paragraph" w:customStyle="1" w:styleId="Podtitul">
    <w:name w:val="Podtitul"/>
    <w:basedOn w:val="Nadpis"/>
    <w:next w:val="Zkladntext"/>
    <w:qFormat/>
    <w:pPr>
      <w:jc w:val="center"/>
    </w:pPr>
    <w:rPr>
      <w:i/>
      <w:iCs/>
    </w:rPr>
  </w:style>
  <w:style w:type="paragraph" w:styleId="Zkladntextodsazen">
    <w:name w:val="Body Text Indent"/>
    <w:basedOn w:val="Normln"/>
    <w:pPr>
      <w:ind w:left="360"/>
    </w:pPr>
    <w:rPr>
      <w:szCs w:val="20"/>
    </w:rPr>
  </w:style>
  <w:style w:type="paragraph" w:styleId="Zpat">
    <w:name w:val="footer"/>
    <w:basedOn w:val="Normln"/>
    <w:link w:val="ZpatChar"/>
    <w:uiPriority w:val="99"/>
    <w:pPr>
      <w:tabs>
        <w:tab w:val="center" w:pos="4536"/>
        <w:tab w:val="right" w:pos="9072"/>
      </w:tabs>
    </w:pPr>
    <w:rPr>
      <w:sz w:val="20"/>
      <w:szCs w:val="20"/>
    </w:rPr>
  </w:style>
  <w:style w:type="paragraph" w:styleId="Zkladntextodsazen3">
    <w:name w:val="Body Text Indent 3"/>
    <w:basedOn w:val="Normln"/>
    <w:pPr>
      <w:ind w:left="360"/>
    </w:pPr>
    <w:rPr>
      <w:sz w:val="20"/>
      <w:szCs w:val="20"/>
    </w:rPr>
  </w:style>
  <w:style w:type="paragraph" w:styleId="Zhlav">
    <w:name w:val="header"/>
    <w:basedOn w:val="Normln"/>
    <w:pPr>
      <w:tabs>
        <w:tab w:val="center" w:pos="4536"/>
        <w:tab w:val="right" w:pos="9072"/>
      </w:tabs>
    </w:pPr>
  </w:style>
  <w:style w:type="paragraph" w:customStyle="1" w:styleId="Obsahrmce">
    <w:name w:val="Obsah rámce"/>
    <w:basedOn w:val="Zkladntext"/>
  </w:style>
  <w:style w:type="paragraph" w:styleId="Zkladntextodsazen2">
    <w:name w:val="Body Text Indent 2"/>
    <w:basedOn w:val="Normln"/>
    <w:pPr>
      <w:ind w:left="1650"/>
      <w:jc w:val="both"/>
    </w:pPr>
  </w:style>
  <w:style w:type="paragraph" w:styleId="Textbubliny">
    <w:name w:val="Balloon Text"/>
    <w:basedOn w:val="Normln"/>
    <w:semiHidden/>
    <w:rPr>
      <w:rFonts w:ascii="Tahoma" w:hAnsi="Tahoma" w:cs="Tahoma"/>
      <w:sz w:val="16"/>
      <w:szCs w:val="16"/>
    </w:rPr>
  </w:style>
  <w:style w:type="paragraph" w:customStyle="1" w:styleId="NormlnIMP">
    <w:name w:val="Normální_IMP"/>
    <w:basedOn w:val="Normln"/>
    <w:pPr>
      <w:tabs>
        <w:tab w:val="left" w:pos="6237"/>
      </w:tabs>
    </w:pPr>
    <w:rPr>
      <w:szCs w:val="20"/>
      <w:lang w:eastAsia="cs-CZ"/>
    </w:r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Char">
    <w:name w:val="Char"/>
    <w:semiHidden/>
    <w:rPr>
      <w:lang w:eastAsia="ar-SA"/>
    </w:rPr>
  </w:style>
  <w:style w:type="paragraph" w:styleId="Pedmtkomente">
    <w:name w:val="annotation subject"/>
    <w:basedOn w:val="Textkomente"/>
    <w:next w:val="Textkomente"/>
    <w:semiHidden/>
    <w:unhideWhenUsed/>
    <w:rPr>
      <w:b/>
      <w:bCs/>
    </w:rPr>
  </w:style>
  <w:style w:type="character" w:customStyle="1" w:styleId="Char1">
    <w:name w:val="Char1"/>
    <w:semiHidden/>
    <w:rPr>
      <w:b/>
      <w:bCs/>
      <w:lang w:eastAsia="ar-SA"/>
    </w:rPr>
  </w:style>
  <w:style w:type="paragraph" w:styleId="Odstavecseseznamem">
    <w:name w:val="List Paragraph"/>
    <w:basedOn w:val="Normln"/>
    <w:uiPriority w:val="34"/>
    <w:qFormat/>
    <w:rsid w:val="00ED18C0"/>
    <w:pPr>
      <w:suppressAutoHyphens w:val="0"/>
      <w:ind w:left="720"/>
      <w:contextualSpacing/>
    </w:pPr>
    <w:rPr>
      <w:lang w:eastAsia="cs-CZ"/>
    </w:rPr>
  </w:style>
  <w:style w:type="character" w:customStyle="1" w:styleId="ZpatChar">
    <w:name w:val="Zápatí Char"/>
    <w:link w:val="Zpat"/>
    <w:uiPriority w:val="99"/>
    <w:rsid w:val="009B7A70"/>
    <w:rPr>
      <w:lang w:eastAsia="ar-SA"/>
    </w:rPr>
  </w:style>
  <w:style w:type="paragraph" w:styleId="Revize">
    <w:name w:val="Revision"/>
    <w:hidden/>
    <w:uiPriority w:val="99"/>
    <w:semiHidden/>
    <w:rsid w:val="00100696"/>
    <w:rPr>
      <w:sz w:val="24"/>
      <w:szCs w:val="24"/>
      <w:lang w:eastAsia="ar-SA"/>
    </w:rPr>
  </w:style>
  <w:style w:type="character" w:customStyle="1" w:styleId="platne1">
    <w:name w:val="platne1"/>
    <w:rsid w:val="00E76C9E"/>
    <w:rPr>
      <w:rFonts w:ascii="Corbel" w:hAnsi="Corbel"/>
      <w:sz w:val="22"/>
    </w:rPr>
  </w:style>
  <w:style w:type="character" w:customStyle="1" w:styleId="TextkomenteChar">
    <w:name w:val="Text komentáře Char"/>
    <w:basedOn w:val="Standardnpsmoodstavce"/>
    <w:link w:val="Textkomente"/>
    <w:uiPriority w:val="99"/>
    <w:rsid w:val="00957B27"/>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49852">
      <w:bodyDiv w:val="1"/>
      <w:marLeft w:val="0"/>
      <w:marRight w:val="0"/>
      <w:marTop w:val="0"/>
      <w:marBottom w:val="0"/>
      <w:divBdr>
        <w:top w:val="none" w:sz="0" w:space="0" w:color="auto"/>
        <w:left w:val="none" w:sz="0" w:space="0" w:color="auto"/>
        <w:bottom w:val="none" w:sz="0" w:space="0" w:color="auto"/>
        <w:right w:val="none" w:sz="0" w:space="0" w:color="auto"/>
      </w:divBdr>
    </w:div>
    <w:div w:id="221060326">
      <w:bodyDiv w:val="1"/>
      <w:marLeft w:val="0"/>
      <w:marRight w:val="0"/>
      <w:marTop w:val="0"/>
      <w:marBottom w:val="0"/>
      <w:divBdr>
        <w:top w:val="none" w:sz="0" w:space="0" w:color="auto"/>
        <w:left w:val="none" w:sz="0" w:space="0" w:color="auto"/>
        <w:bottom w:val="none" w:sz="0" w:space="0" w:color="auto"/>
        <w:right w:val="none" w:sz="0" w:space="0" w:color="auto"/>
      </w:divBdr>
    </w:div>
    <w:div w:id="735736662">
      <w:bodyDiv w:val="1"/>
      <w:marLeft w:val="0"/>
      <w:marRight w:val="0"/>
      <w:marTop w:val="0"/>
      <w:marBottom w:val="0"/>
      <w:divBdr>
        <w:top w:val="none" w:sz="0" w:space="0" w:color="auto"/>
        <w:left w:val="none" w:sz="0" w:space="0" w:color="auto"/>
        <w:bottom w:val="none" w:sz="0" w:space="0" w:color="auto"/>
        <w:right w:val="none" w:sz="0" w:space="0" w:color="auto"/>
      </w:divBdr>
    </w:div>
    <w:div w:id="1125081887">
      <w:bodyDiv w:val="1"/>
      <w:marLeft w:val="0"/>
      <w:marRight w:val="0"/>
      <w:marTop w:val="0"/>
      <w:marBottom w:val="0"/>
      <w:divBdr>
        <w:top w:val="none" w:sz="0" w:space="0" w:color="auto"/>
        <w:left w:val="none" w:sz="0" w:space="0" w:color="auto"/>
        <w:bottom w:val="none" w:sz="0" w:space="0" w:color="auto"/>
        <w:right w:val="none" w:sz="0" w:space="0" w:color="auto"/>
      </w:divBdr>
    </w:div>
    <w:div w:id="1417244169">
      <w:bodyDiv w:val="1"/>
      <w:marLeft w:val="0"/>
      <w:marRight w:val="0"/>
      <w:marTop w:val="0"/>
      <w:marBottom w:val="0"/>
      <w:divBdr>
        <w:top w:val="none" w:sz="0" w:space="0" w:color="auto"/>
        <w:left w:val="none" w:sz="0" w:space="0" w:color="auto"/>
        <w:bottom w:val="none" w:sz="0" w:space="0" w:color="auto"/>
        <w:right w:val="none" w:sz="0" w:space="0" w:color="auto"/>
      </w:divBdr>
    </w:div>
    <w:div w:id="151526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69917E7886A948AE8C38ACF65B3E2E" ma:contentTypeVersion="18" ma:contentTypeDescription="Vytvoří nový dokument" ma:contentTypeScope="" ma:versionID="158f959e9d25ed55272ee4b48679fbbf">
  <xsd:schema xmlns:xsd="http://www.w3.org/2001/XMLSchema" xmlns:xs="http://www.w3.org/2001/XMLSchema" xmlns:p="http://schemas.microsoft.com/office/2006/metadata/properties" xmlns:ns3="e17d1c98-58bc-414a-80de-c9222d39bbc5" xmlns:ns4="9839f904-0af6-4923-a17e-4c3f041ad6b3" targetNamespace="http://schemas.microsoft.com/office/2006/metadata/properties" ma:root="true" ma:fieldsID="bccc563914ea50106f133025b91b9ec4" ns3:_="" ns4:_="">
    <xsd:import namespace="e17d1c98-58bc-414a-80de-c9222d39bbc5"/>
    <xsd:import namespace="9839f904-0af6-4923-a17e-4c3f041ad6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d1c98-58bc-414a-80de-c9222d39b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39f904-0af6-4923-a17e-4c3f041ad6b3"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17d1c98-58bc-414a-80de-c9222d39bb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5A8E4-5EFC-4FC8-A27C-33DAAFC7A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d1c98-58bc-414a-80de-c9222d39bbc5"/>
    <ds:schemaRef ds:uri="9839f904-0af6-4923-a17e-4c3f041ad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A5A09-5AFC-4399-806A-19D0B62CA604}">
  <ds:schemaRefs>
    <ds:schemaRef ds:uri="http://schemas.microsoft.com/sharepoint/v3/contenttype/forms"/>
  </ds:schemaRefs>
</ds:datastoreItem>
</file>

<file path=customXml/itemProps3.xml><?xml version="1.0" encoding="utf-8"?>
<ds:datastoreItem xmlns:ds="http://schemas.openxmlformats.org/officeDocument/2006/customXml" ds:itemID="{F9C7960C-DD56-43BF-9CF1-31B2B29BD8A7}">
  <ds:schemaRefs>
    <ds:schemaRef ds:uri="http://www.w3.org/XML/1998/namespace"/>
    <ds:schemaRef ds:uri="9839f904-0af6-4923-a17e-4c3f041ad6b3"/>
    <ds:schemaRef ds:uri="http://purl.org/dc/terms/"/>
    <ds:schemaRef ds:uri="http://schemas.microsoft.com/office/2006/metadata/properties"/>
    <ds:schemaRef ds:uri="http://schemas.microsoft.com/office/2006/documentManagement/types"/>
    <ds:schemaRef ds:uri="http://purl.org/dc/elements/1.1/"/>
    <ds:schemaRef ds:uri="http://purl.org/dc/dcmitype/"/>
    <ds:schemaRef ds:uri="e17d1c98-58bc-414a-80de-c9222d39bbc5"/>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52D596D-42B5-4395-A501-641F1578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7080</Characters>
  <Application>Microsoft Office Word</Application>
  <DocSecurity>4</DocSecurity>
  <Lines>59</Lines>
  <Paragraphs>16</Paragraphs>
  <ScaleCrop>false</ScaleCrop>
  <HeadingPairs>
    <vt:vector size="2" baseType="variant">
      <vt:variant>
        <vt:lpstr>Název</vt:lpstr>
      </vt:variant>
      <vt:variant>
        <vt:i4>1</vt:i4>
      </vt:variant>
    </vt:vector>
  </HeadingPairs>
  <TitlesOfParts>
    <vt:vector size="1" baseType="lpstr">
      <vt:lpstr>Ústav struktury a mechaniky hornin</vt:lpstr>
    </vt:vector>
  </TitlesOfParts>
  <Company>Jan Kanyitur - SYBEKA</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Ústav struktury a mechaniky hornin</dc:title>
  <dc:subject/>
  <dc:creator>Tichá</dc:creator>
  <cp:keywords/>
  <dc:description/>
  <cp:lastModifiedBy>Žaneta Hessová</cp:lastModifiedBy>
  <cp:revision>2</cp:revision>
  <cp:lastPrinted>2022-03-31T11:59:00Z</cp:lastPrinted>
  <dcterms:created xsi:type="dcterms:W3CDTF">2025-01-14T09:03:00Z</dcterms:created>
  <dcterms:modified xsi:type="dcterms:W3CDTF">2025-01-14T09:03:00Z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0x0101008469917E7886A948AE8C38ACF65B3E2E</vt:lpwstr>
  </property>
  <property fmtid="{D5CDD505-2E9C-101B-9397-08002B2CF9AE}" pid="3" name="_activity">
    <vt:lpwstr/>
  </property>
</Properties>
</file>