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C9" w:rsidRDefault="002A2AB5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u w:val="single" w:color="000000"/>
        </w:rPr>
        <w:t>PODMÍNKY SLUŽEB TECHNICKÉ PODPORY</w:t>
      </w:r>
      <w:r>
        <w:rPr>
          <w:b/>
        </w:rPr>
        <w:t xml:space="preserve"> </w:t>
      </w:r>
    </w:p>
    <w:p w:rsidR="001F77C9" w:rsidRDefault="002A2AB5">
      <w:pPr>
        <w:spacing w:after="0" w:line="259" w:lineRule="auto"/>
        <w:ind w:left="0" w:firstLine="0"/>
        <w:jc w:val="left"/>
      </w:pPr>
      <w:r>
        <w:t xml:space="preserve"> </w:t>
      </w:r>
    </w:p>
    <w:p w:rsidR="001F77C9" w:rsidRDefault="002A2AB5">
      <w:pPr>
        <w:ind w:left="-5" w:right="-4"/>
      </w:pPr>
      <w:r>
        <w:t>Výraz „Zákazník“ a „Zákazníkův“ použitý v této Objednávce obnovení služeb odkazuje na Zákazníka identifikovaného na stránce Souhrn obnovení služeb podpory.</w:t>
      </w:r>
      <w:r>
        <w:rPr>
          <w:b/>
          <w:i/>
        </w:rPr>
        <w:t xml:space="preserve"> </w:t>
      </w:r>
    </w:p>
    <w:p w:rsidR="001F77C9" w:rsidRDefault="002A2AB5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1F77C9" w:rsidRDefault="002A2AB5">
      <w:pPr>
        <w:ind w:left="-5" w:right="-4"/>
      </w:pPr>
      <w:r>
        <w:t>Pokud fyzická nebo právnická osoba uvedená v článku Kontaktní údaje pro zaslání nabídky na stránce Souhrn obnovení služeb podpory není Zákazníkem uvedeným na stránce Souhrn obnovení služeb podpory, pak tato fyzická nebo právnická osoba prohlašuje, že Zákaz</w:t>
      </w:r>
      <w:r>
        <w:t xml:space="preserve">ník tuto osobu (včetně osoby, která podepsala tuto Objednávku obnovení služeb) zmocnil k podpisu této Objednávky obnovení služeb jménem Zákazníka a k tomu, aby tato osoba Zákazníka zavázala k plnění podmínek uvedených této Objednávce obnovení služeb. Tato </w:t>
      </w:r>
      <w:r>
        <w:t>fyzická nebo právnická osoba souhlasí, že objednané služby jsou určeny pouze pro Zákazníka a budou užívány pouze Zákazníkem. Tato fyzická nebo právnická osoba souhlasí, že seznámí Zákazníka s podmínkami této Objednávky obnovení služeb, včetně veškeré komun</w:t>
      </w:r>
      <w:r>
        <w:t xml:space="preserve">ikace obdržené od </w:t>
      </w:r>
      <w:proofErr w:type="spellStart"/>
      <w:r>
        <w:t>Oracle</w:t>
      </w:r>
      <w:proofErr w:type="spellEnd"/>
      <w:r>
        <w:t xml:space="preserve"> v souvislosti se službami. </w:t>
      </w:r>
    </w:p>
    <w:p w:rsidR="001F77C9" w:rsidRDefault="002A2AB5">
      <w:pPr>
        <w:spacing w:after="13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1F77C9" w:rsidRDefault="002A2AB5">
      <w:pPr>
        <w:ind w:left="-5" w:right="-4"/>
      </w:pPr>
      <w:r>
        <w:t>Pokud tato fyzická nebo právnická osoba uvedená v článku Kontaktní údaje pro zaslání nabídky na stránce Souhrn obnovení služeb podpory není Zákazníkem uvedeným na stránce Souhrn obnovení služeb podpory</w:t>
      </w:r>
      <w:r>
        <w:t>, pak Zákazník souhlasí, že: a) Zákazník má konečnou odpovědnost za platby podle této Objednávky obnovení služeb; a b) jakékoli nesplnění povinnosti včasného uhrazení poplatků v souladu s podmínkami této Objednávky obnovení služeb ze strany fyzické nebo pr</w:t>
      </w:r>
      <w:r>
        <w:t xml:space="preserve">ávnické osoby uvedené v článku Kontaktní údaje pro zaslání nabídky na stránce Souhrn obnovení služeb podpory bude považováno za porušení podmínek ze strany Zákazníka a </w:t>
      </w:r>
      <w:proofErr w:type="spellStart"/>
      <w:r>
        <w:t>Oracle</w:t>
      </w:r>
      <w:proofErr w:type="spellEnd"/>
      <w:r>
        <w:t xml:space="preserve"> bude nad rámec jakýchkoli jí dostupných opravných prostředků oprávněna ukončit Zá</w:t>
      </w:r>
      <w:r>
        <w:t xml:space="preserve">kazníkovy služby technické podpory podle této Objednávky obnovení služeb. </w:t>
      </w:r>
    </w:p>
    <w:p w:rsidR="001F77C9" w:rsidRDefault="002A2AB5">
      <w:pPr>
        <w:spacing w:after="18" w:line="259" w:lineRule="auto"/>
        <w:ind w:left="0" w:firstLine="0"/>
        <w:jc w:val="left"/>
      </w:pPr>
      <w:r>
        <w:t xml:space="preserve"> </w:t>
      </w:r>
    </w:p>
    <w:p w:rsidR="001F77C9" w:rsidRDefault="002A2AB5">
      <w:pPr>
        <w:ind w:left="-5" w:right="-4"/>
      </w:pPr>
      <w:r>
        <w:t xml:space="preserve">Technická podpora je poskytována na základě zásad technické podpory společnosti </w:t>
      </w:r>
      <w:proofErr w:type="spellStart"/>
      <w:r>
        <w:t>Oracle</w:t>
      </w:r>
      <w:proofErr w:type="spellEnd"/>
      <w:r>
        <w:t xml:space="preserve"> platných v době poskytování služeb.  Společnost </w:t>
      </w:r>
      <w:proofErr w:type="spellStart"/>
      <w:r>
        <w:t>Oracle</w:t>
      </w:r>
      <w:proofErr w:type="spellEnd"/>
      <w:r>
        <w:t xml:space="preserve"> je oprávněna podmínky poskytování Slu</w:t>
      </w:r>
      <w:r>
        <w:t xml:space="preserve">žeb technické podpory měnit. </w:t>
      </w:r>
      <w:proofErr w:type="spellStart"/>
      <w:r>
        <w:t>Oracle</w:t>
      </w:r>
      <w:proofErr w:type="spellEnd"/>
      <w:r>
        <w:t xml:space="preserve"> se zavazuje, že nesníží úroveň poskytování Služeb technické podpory pro podporované programy anebo hardware v období, za které byla podpora uhrazena.  Než tuto objednávku obnovy podepíšete, měli byste si prostudovat rozs</w:t>
      </w:r>
      <w:r>
        <w:t xml:space="preserve">ah služeb technické podpory.  Aktuální verze zásad technické podpory lze nalézt na stránkách </w:t>
      </w:r>
      <w:hyperlink r:id="rId5">
        <w:r>
          <w:rPr>
            <w:color w:val="0000FF"/>
            <w:u w:val="single" w:color="0000FF"/>
          </w:rPr>
          <w:t>http://www.oracle.com/us/support/policies/index.html</w:t>
        </w:r>
      </w:hyperlink>
      <w:hyperlink r:id="rId6">
        <w:r>
          <w:t>.</w:t>
        </w:r>
      </w:hyperlink>
      <w:r>
        <w:t xml:space="preserve">   </w:t>
      </w:r>
    </w:p>
    <w:p w:rsidR="001F77C9" w:rsidRDefault="002A2AB5">
      <w:pPr>
        <w:spacing w:after="0" w:line="259" w:lineRule="auto"/>
        <w:ind w:left="0" w:firstLine="0"/>
        <w:jc w:val="left"/>
      </w:pPr>
      <w:r>
        <w:t xml:space="preserve"> </w:t>
      </w:r>
    </w:p>
    <w:p w:rsidR="001F77C9" w:rsidRDefault="002A2AB5">
      <w:pPr>
        <w:spacing w:after="27"/>
        <w:ind w:left="-5" w:right="-4"/>
      </w:pPr>
      <w:r>
        <w:t xml:space="preserve">Služby technické podpory zakoupené touto objednávkou obnovy se řídí podmínkami příslušné smlouvy uvedené níže (dále jen „smlouva“):  </w:t>
      </w:r>
    </w:p>
    <w:p w:rsidR="001F77C9" w:rsidRDefault="002A2AB5">
      <w:pPr>
        <w:numPr>
          <w:ilvl w:val="0"/>
          <w:numId w:val="1"/>
        </w:numPr>
        <w:spacing w:after="26"/>
        <w:ind w:right="-4" w:hanging="360"/>
      </w:pPr>
      <w:r>
        <w:t>Vámi podepsaná smlouva na služby technické podpory programů anebo hardwaru uvedený</w:t>
      </w:r>
      <w:r>
        <w:t xml:space="preserve">ch na stránce Souhrn prodloužení servisní podpory se společností </w:t>
      </w:r>
      <w:proofErr w:type="spellStart"/>
      <w:r>
        <w:t>Oracle</w:t>
      </w:r>
      <w:proofErr w:type="spellEnd"/>
      <w:r>
        <w:t xml:space="preserve"> nebo s dodavatelem získaným společností </w:t>
      </w:r>
      <w:proofErr w:type="spellStart"/>
      <w:r>
        <w:t>Oracle</w:t>
      </w:r>
      <w:proofErr w:type="spellEnd"/>
      <w:r>
        <w:t xml:space="preserve">. Jakékoli používání programů anebo hardwaru včetně jejich aktualizací a dalších materiálů poskytovaných nebo zpřístupněných společností </w:t>
      </w:r>
      <w:proofErr w:type="spellStart"/>
      <w:r>
        <w:t>O</w:t>
      </w:r>
      <w:r>
        <w:t>racle</w:t>
      </w:r>
      <w:proofErr w:type="spellEnd"/>
      <w:r>
        <w:t xml:space="preserve"> na základě služeb technické podpory podléhá právům uděleným programům anebo hardwaru, které jsou uvedeny v objednávce, na jejímž základě byly programy anebo hardware zakoupeny; nebo   </w:t>
      </w:r>
    </w:p>
    <w:p w:rsidR="001F77C9" w:rsidRDefault="002A2AB5">
      <w:pPr>
        <w:numPr>
          <w:ilvl w:val="0"/>
          <w:numId w:val="1"/>
        </w:numPr>
        <w:ind w:right="-4" w:hanging="360"/>
      </w:pPr>
      <w:r>
        <w:t>Pokud nemáte uzavřenu platnou smlouvu na služby technické podpory</w:t>
      </w:r>
      <w:r>
        <w:t xml:space="preserve"> se společností </w:t>
      </w:r>
      <w:proofErr w:type="spellStart"/>
      <w:r>
        <w:t>Oracle</w:t>
      </w:r>
      <w:proofErr w:type="spellEnd"/>
      <w:r>
        <w:t xml:space="preserve">, nebo prodejce dojednaný společností </w:t>
      </w:r>
      <w:proofErr w:type="spellStart"/>
      <w:r>
        <w:t>Oracle</w:t>
      </w:r>
      <w:proofErr w:type="spellEnd"/>
      <w:r>
        <w:t xml:space="preserve">, souhlasíte s tím, že podmínky smlouvy Online </w:t>
      </w:r>
      <w:proofErr w:type="spellStart"/>
      <w:r>
        <w:t>Transactional</w:t>
      </w:r>
      <w:proofErr w:type="spellEnd"/>
      <w:r>
        <w:t xml:space="preserve"> </w:t>
      </w:r>
    </w:p>
    <w:p w:rsidR="001F77C9" w:rsidRDefault="002A2AB5">
      <w:pPr>
        <w:ind w:left="370" w:right="-4"/>
      </w:pPr>
      <w:proofErr w:type="spellStart"/>
      <w:r>
        <w:t>Oracle</w:t>
      </w:r>
      <w:proofErr w:type="spellEnd"/>
      <w:r>
        <w:t xml:space="preserve"> Master </w:t>
      </w:r>
      <w:proofErr w:type="spellStart"/>
      <w:r>
        <w:t>Agreement</w:t>
      </w:r>
      <w:proofErr w:type="spellEnd"/>
      <w:r>
        <w:t xml:space="preserve"> umístěné na webové stránce </w:t>
      </w:r>
      <w:hyperlink r:id="rId7">
        <w:r>
          <w:rPr>
            <w:color w:val="0000FF"/>
            <w:u w:val="single" w:color="0000FF"/>
          </w:rPr>
          <w:t>https://www.oracle.</w:t>
        </w:r>
        <w:proofErr w:type="gramStart"/>
        <w:r>
          <w:rPr>
            <w:color w:val="0000FF"/>
            <w:u w:val="single" w:color="0000FF"/>
          </w:rPr>
          <w:t>com/corporate/contracts/contract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documents/master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agree</w:t>
        </w:r>
        <w:r>
          <w:rPr>
            <w:color w:val="0000FF"/>
            <w:u w:val="single" w:color="0000FF"/>
          </w:rPr>
          <w:t>ment.html</w:t>
        </w:r>
        <w:proofErr w:type="gramEnd"/>
      </w:hyperlink>
      <w:hyperlink r:id="rId12">
        <w:r>
          <w:t>,</w:t>
        </w:r>
      </w:hyperlink>
      <w:r>
        <w:t xml:space="preserve"> která je v platnosti v době, kdy přijímáte svoji objednávku obnovy, určují služby technické podpory objednané na základě této objednávky obnov</w:t>
      </w:r>
      <w:r>
        <w:t xml:space="preserve">y, stejně jako vaše práva na používání aktualizací a dalších materiálů poskytnutých nebo zpřístupněných společností </w:t>
      </w:r>
      <w:proofErr w:type="spellStart"/>
      <w:r>
        <w:t>Oracle</w:t>
      </w:r>
      <w:proofErr w:type="spellEnd"/>
      <w:r>
        <w:t xml:space="preserve"> na základě služeb technické podpory. Než tuto objednávku obnovy podepíšete, měli byste si, pokud je to možné, prostudovat smlouvu Onl</w:t>
      </w:r>
      <w:r>
        <w:t xml:space="preserve">ine </w:t>
      </w:r>
      <w:proofErr w:type="spellStart"/>
      <w:r>
        <w:t>Transactional</w:t>
      </w:r>
      <w:proofErr w:type="spellEnd"/>
      <w:r>
        <w:t xml:space="preserve"> </w:t>
      </w:r>
      <w:proofErr w:type="spellStart"/>
      <w:r>
        <w:t>Oracle</w:t>
      </w:r>
      <w:proofErr w:type="spellEnd"/>
      <w:r>
        <w:t xml:space="preserve"> Master </w:t>
      </w:r>
      <w:proofErr w:type="spellStart"/>
      <w:r>
        <w:t>Agreement</w:t>
      </w:r>
      <w:proofErr w:type="spellEnd"/>
      <w:r>
        <w:t xml:space="preserve">.  </w:t>
      </w:r>
    </w:p>
    <w:p w:rsidR="001F77C9" w:rsidRDefault="002A2AB5">
      <w:pPr>
        <w:spacing w:after="0" w:line="259" w:lineRule="auto"/>
        <w:ind w:left="360" w:firstLine="0"/>
        <w:jc w:val="left"/>
      </w:pPr>
      <w:r>
        <w:t xml:space="preserve"> </w:t>
      </w:r>
    </w:p>
    <w:p w:rsidR="001F77C9" w:rsidRDefault="002A2AB5">
      <w:pPr>
        <w:ind w:left="-5" w:right="-4"/>
      </w:pPr>
      <w:r>
        <w:t>Než podepíšete tuto objednávku, prostudujte si zásady podpory po celou dobu životnosti (</w:t>
      </w:r>
      <w:proofErr w:type="spellStart"/>
      <w:r>
        <w:t>Lifetime</w:t>
      </w:r>
      <w:proofErr w:type="spellEnd"/>
      <w:r>
        <w:t xml:space="preserve"> Support </w:t>
      </w:r>
      <w:proofErr w:type="spellStart"/>
      <w:r>
        <w:t>Policy</w:t>
      </w:r>
      <w:proofErr w:type="spellEnd"/>
      <w:r>
        <w:t xml:space="preserve">) společnosti </w:t>
      </w:r>
      <w:proofErr w:type="spellStart"/>
      <w:r>
        <w:t>Oracle</w:t>
      </w:r>
      <w:proofErr w:type="spellEnd"/>
      <w:r>
        <w:t xml:space="preserve">. Podle Zásad podpory po celou dobu životnosti společnosti </w:t>
      </w:r>
      <w:proofErr w:type="spellStart"/>
      <w:r>
        <w:t>Oracle</w:t>
      </w:r>
      <w:proofErr w:type="spellEnd"/>
      <w:r>
        <w:t xml:space="preserve"> se úroveň poskytovaných služeb může měnit během doby platno</w:t>
      </w:r>
      <w:r>
        <w:t xml:space="preserve">sti služeb zakoupených prostřednictvím této objednávky.  </w:t>
      </w:r>
    </w:p>
    <w:p w:rsidR="001F77C9" w:rsidRDefault="002A2AB5">
      <w:pPr>
        <w:spacing w:after="14" w:line="259" w:lineRule="auto"/>
        <w:ind w:left="0" w:firstLine="0"/>
        <w:jc w:val="left"/>
      </w:pPr>
      <w:r>
        <w:lastRenderedPageBreak/>
        <w:t xml:space="preserve"> </w:t>
      </w:r>
    </w:p>
    <w:p w:rsidR="001F77C9" w:rsidRDefault="002A2AB5">
      <w:pPr>
        <w:spacing w:after="286"/>
        <w:ind w:left="-5" w:right="-4"/>
      </w:pPr>
      <w:r>
        <w:t xml:space="preserve">Souhlasíte s úhradou všech daní z prodeje, DPH nebo dalších podobných daní vyměřených příslušným zákonem vyjma daní z příjmu společnosti </w:t>
      </w:r>
      <w:proofErr w:type="spellStart"/>
      <w:r>
        <w:t>Oracle</w:t>
      </w:r>
      <w:proofErr w:type="spellEnd"/>
      <w:r>
        <w:t xml:space="preserve">. </w:t>
      </w:r>
    </w:p>
    <w:p w:rsidR="001F77C9" w:rsidRDefault="002A2AB5">
      <w:pPr>
        <w:spacing w:after="12735"/>
        <w:ind w:left="-5" w:right="-4"/>
      </w:pPr>
      <w:r>
        <w:rPr>
          <w:rFonts w:ascii="Times New Roman" w:eastAsia="Times New Roman" w:hAnsi="Times New Roman" w:cs="Times New Roman"/>
        </w:rPr>
        <w:t xml:space="preserve">Premier_Support_Store_Terms_Conditions_v082420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t>Tato objednávka obnovy zahrnuje smlouvu ve formě referencí. V případě nesrovnalostí mezi podmínkami obsaženými v této objednávce obnovy a ve smlouvě má př</w:t>
      </w:r>
      <w:r>
        <w:t xml:space="preserve">ednost tato objednávka obnovy. </w:t>
      </w:r>
      <w:r>
        <w:t xml:space="preserve"> </w:t>
      </w:r>
    </w:p>
    <w:p w:rsidR="001F77C9" w:rsidRDefault="002A2AB5">
      <w:pPr>
        <w:tabs>
          <w:tab w:val="center" w:pos="4681"/>
          <w:tab w:val="right" w:pos="9366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Premier_Support_Store_Terms_Conditions_v082420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1F77C9" w:rsidRDefault="002A2AB5">
      <w:pPr>
        <w:spacing w:after="0" w:line="259" w:lineRule="auto"/>
        <w:ind w:left="0" w:firstLine="0"/>
        <w:jc w:val="left"/>
      </w:pPr>
      <w:r>
        <w:t xml:space="preserve"> </w:t>
      </w:r>
    </w:p>
    <w:sectPr w:rsidR="001F77C9">
      <w:pgSz w:w="12240" w:h="15840"/>
      <w:pgMar w:top="1477" w:right="1434" w:bottom="7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391F"/>
    <w:multiLevelType w:val="hybridMultilevel"/>
    <w:tmpl w:val="4E5222EE"/>
    <w:lvl w:ilvl="0" w:tplc="53C409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606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C40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A0D3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925D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2EA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0097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E27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40B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C9"/>
    <w:rsid w:val="001F77C9"/>
    <w:rsid w:val="002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657A9-8E0A-4329-9321-E7A24EEE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corporate/contracts/contract-documents/master-agreemen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acle.com/corporate/contracts/contract-documents/master-agreement.html" TargetMode="External"/><Relationship Id="rId12" Type="http://schemas.openxmlformats.org/officeDocument/2006/relationships/hyperlink" Target="https://www.oracle.com/corporate/contracts/contract-documents/master-agree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cle.com/us/support/policies/index.html" TargetMode="External"/><Relationship Id="rId11" Type="http://schemas.openxmlformats.org/officeDocument/2006/relationships/hyperlink" Target="https://www.oracle.com/corporate/contracts/contract-documents/master-agreement.html" TargetMode="External"/><Relationship Id="rId5" Type="http://schemas.openxmlformats.org/officeDocument/2006/relationships/hyperlink" Target="http://www.oracle.com/us/support/policies/index.html" TargetMode="External"/><Relationship Id="rId10" Type="http://schemas.openxmlformats.org/officeDocument/2006/relationships/hyperlink" Target="https://www.oracle.com/corporate/contracts/contract-documents/master-agree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acle.com/corporate/contracts/contract-documents/master-agreemen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ALADAMS</dc:creator>
  <cp:keywords/>
  <cp:lastModifiedBy>Bednaříková Petra</cp:lastModifiedBy>
  <cp:revision>2</cp:revision>
  <dcterms:created xsi:type="dcterms:W3CDTF">2025-01-13T13:49:00Z</dcterms:created>
  <dcterms:modified xsi:type="dcterms:W3CDTF">2025-01-13T13:49:00Z</dcterms:modified>
</cp:coreProperties>
</file>