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 uzavřely osoby dle svého vlastního prohlášení svéprávné k právním jednáním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statutární město Pardubice,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 sídlem v Pardubicích, Pernštýnské nám. 1, PSČ 530 21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002 74 046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zastoupené Ing. Miroslavem Macelou, vedoucím oddělení pozemků a převodu nemovitostí Magistrátu města Pardubic, a to na základě čl. 10 odst. 1 a odst. 6 a čl. 12 směrnice č. 6/2024 Organizační řád v platném znění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půjčitel)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SK NEMOŠICE z. s.,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Mnětická 252, Nemošice, 530 03 Pardubice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429 36 942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 místopředsedou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zapsaný v obchodním rejstříku, vedeném Krajským soudem v Hradci Králové, oddíl L, vložka 675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vypůjčitel)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tuto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center"/>
      </w:pPr>
      <w:bookmarkStart w:id="2" w:name="bookmark2"/>
      <w:r>
        <w:rPr>
          <w:rFonts w:ascii="Arial" w:eastAsia="Arial" w:hAnsi="Arial" w:cs="Arial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smlouvu o výpůjčce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souladu s ustanovením § 2193 a násl. zákona č. 89/2012 Sb., občanský zákoník v platném znění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2" w:val="left"/>
        </w:tabs>
        <w:bidi w:val="0"/>
        <w:spacing w:before="0" w:after="24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Půjčitel prohlašuje, že je výlučným vlastníkem pozemků označených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p.p.č. 206/10 orná půda, p.p.č. 755/1 ostatní plocha - jiná plocha a p.p.č. 206/9 orná půda, vše v k.ú. Nemošice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v obci Pardubice.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Půjčitel přenechává bezplatně do výpůjčky vypůjčiteli k užívání pozemky označené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p.p.č. 206/10 o výměře 5.897 m2, p.p.č. 755/1 o výměře 1.601 m2 a p.p.č. 206/9 o výměře 7.341 m2, vše v obci Pardubice a v k.ú. Nemošice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to v rozsahu, který je zakreslen na snímku katastrální mapy - příloha č. 1 této smlouvy (dále společně jen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„předmět výpůjčky“),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 účelem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ozelenění pozemků a jejich následného využitíjako tréninkové plochy pro fotbal a další sportovní aktivity mládeže včetně umístění mobilních branek s možností oplocení do doby změny územního plánu.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Výpůjčka se uzavírá na dobu určitou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25.6.2035.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2" w:val="left"/>
        </w:tabs>
        <w:bidi w:val="0"/>
        <w:spacing w:before="0" w:after="50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prohlašuje, že je mu stav předmětu výpůjčky dobře znám, neboť si jej prohlédl před uzavřením této smlouvy a potvrzuje, že je ve stavu způsobilém k řádnému užívání podle této smlouvy.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 či stavební úpravy na předmětu výpůjčky lze provádět jen po řádném projednání s příslušným stavebním úřadem a s písemným souhlasem vypůjčitele. Tato smlouva souhlas vlastníka pozemku nenahrazuje.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se zavazuje udržovat čistotu předmětu výpůjčky.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2" w:val="left"/>
        </w:tabs>
        <w:bidi w:val="0"/>
        <w:spacing w:before="0" w:after="24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Tato smlouva o výpůjčce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nenahrazuje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souhlas vlastníka pozemku s kácením dřevin rostoucích na předmětu výpůjčky a nezakládá automaticky nárok vypůjčitele na vydání takového souhlasu.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24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Vypůjčíte! je oprávněn užívat předmět výpůjčky pouze k účelu stanovenému v čl. II. této smlouvy, vycházejícího z jeho povahy a stavebního určení, aby nedocházelo kjeho poškození či nadměrnému opotřebení. Předmět výpůjčky nesmí být využíván k výrobě, manipulaci a skladování výbušnin, prudce hořlavých materiálů, jedů, drog a k dalším činnostem, které ohrožují či negativně působí na životní prostředí (prach, hluk či exhalace, apod.).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je povinen pod sankcí smluvní pokuty ve výši 10.000,- Kč se zdržet všeho čímž by způsoboval imise ve smyslu ustanovení § 1013 zákona č. 89/2012 Sb., občanský zákoník v platném znění, s výjimkou běžných imisí vzniklých v důsledku stavebních prací při realizaci stavby. Toto ujednání pak nemá vliv na nárok půjčitele na náhradu škody.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 jiné změny na předmětu výpůjčky, stavby či stavební či terénní úpravy, umístění reklamy či informačního zařízení, lze provádět pouze na základě předchozího písemného souhlasu půjčitele, jehož součástí bude i ujednání smluvních stran o tom, zda mají být úpravy k datu ukončení výpůjčky odstraněny, či ujednání o vzájemném vyrovnání z důvodu zhodnocení předmětu výpůjčky. Po udělení takového písemného souhlasu pak vypůjčitel úpravy provádí na svůj náklad. Bez písemného předchozího souhlasu není vypůjčitel oprávněn změny na předmětu výpůjčky provést a nemá nárok na vyrovnání případného zhodnocení předmětu výpůjčky. Tato smlouva souhlas vlastníka pozemku nenahrazuje.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organizaci a zajištění požární ochrany, bezpečnosti a ochrany zdraví při práci, ochrany životního prostředí a hygieny v souladu s platnými předpisy odpovídá na předmětu výpůjčky vypůjčitel. Půjčitel je oprávněn dodržování právních předpisů kontrolovat.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nemá nárok na úhradu vynaložených nákladů spojených s užíváním a údržbou předmětu výpůjčky, výstavbou provedenou v souladu s touto smlouvou ani vynaložených nákladů souvisejících s vydáním příslušných rozhodnutí pro stavbu, a to ani v případě, že nebudou tato rozhodnutí příslušnými orgány vydána. Obvyklé náklady spojené s užíváním předmětu výpůjčky nese vypůjčitel ze svého.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není oprávněn přenechat předmět výpůjčky do užívání bezplatně nebo za úhradu jiné právnické či fyzické osobě.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škody způsobené na předmětu výpůjčky zodpovídá vypůjčitel.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2" w:val="left"/>
        </w:tabs>
        <w:bidi w:val="0"/>
        <w:spacing w:before="0" w:after="240" w:line="276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bere na vědomí, že smlouva o výpůjčce je pouze dočasným titulem k užívání předmětu výpůjčky, který je ze své povahy vypověditelný a nezakládá nárok vypůjčitele na odkoupení předmětu výpůjčky.</w:t>
      </w:r>
    </w:p>
    <w:p>
      <w:pPr>
        <w:pStyle w:val="Style12"/>
        <w:keepNext/>
        <w:keepLines/>
        <w:widowControl w:val="0"/>
        <w:numPr>
          <w:ilvl w:val="0"/>
          <w:numId w:val="1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zaniká uplynutím času, dohodou smluvních stran, popřípadě výpovědí.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Půjčitel si vyhrazuje právo ukončit smlouvu o výpůjčce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výpovědí s jednoměsíční výpovědní dobou,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jež počne běžet od prvého dne kalendářního měsíce následujícího po doručení výpovědi a domáhat se předčasného vrácení předmětu výpůjčky,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pokud: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08" w:val="left"/>
        </w:tabs>
        <w:bidi w:val="0"/>
        <w:spacing w:before="0" w:after="0" w:line="24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užívá předmět výpůjčky v rozporu se smlouvou o výpůjčce,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08" w:val="left"/>
        </w:tabs>
        <w:bidi w:val="0"/>
        <w:spacing w:before="0" w:after="0" w:line="240" w:lineRule="auto"/>
        <w:ind w:left="14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přenechal předmět výpůjčky do užívání bezplatně nebo za úhradu jiné právnické či fyzické osobě,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08" w:val="left"/>
        </w:tabs>
        <w:bidi w:val="0"/>
        <w:spacing w:before="0" w:after="0" w:line="240" w:lineRule="auto"/>
        <w:ind w:left="14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vzniku naléhavé potřeby města z důvodu realizace výstavby či jiného investičního záměru.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výpůjčky bude po ukončení výpůjčky vrácen půjčiteli v termínu určeném půjčitelem a ve stavu, v jakém jej vypůjčitel převzal, tj. vyklizený a prost všech právních i faktických vad, popř. ve stavu určeném půjčitelem. O vrácení předmětu výpůjčky bude pořízen Protokol o fyzickém předání a převzetí.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40"/>
        <w:jc w:val="both"/>
        <w:sectPr>
          <w:headerReference w:type="default" r:id="rId5"/>
          <w:footerReference w:type="default" r:id="rId6"/>
          <w:headerReference w:type="even" r:id="rId7"/>
          <w:footerReference w:type="even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1422" w:right="1448" w:bottom="1558" w:left="1336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výslovně dohodly na vyloučení automatického obnovení smlouvy o výpůjčce ve smyslu ustanovení § 2230 zákona č. 89/2012 Sb., občanský zákoník v platném znění, a ujednávají si, že výpůjčka končí uplynutím výpovědní doby nebo 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dohodnutému datu, a to bez ohledu na aktivitu půjčitele, tedy skutečnost, že vypůjčitel užívá předmět výpůjčky i po uplynutí ujednané doby nemá za následek opětovné uzavření smlouvy o výpůjčce. Toto ujednání je zároveň sdělením ve smyslu ustanovení § 2230 odst. 2 zákona č. 89/2012 Sb., občanský zákoník, v platném znění, tj. další užívání předmětu výpůjčky vypůjčitelem nebude pokládáno za opětovné uzavření smlouvy o výpůjčce.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77" w:val="left"/>
        </w:tabs>
        <w:bidi w:val="0"/>
        <w:spacing w:before="0" w:after="240" w:line="240" w:lineRule="auto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  <w:tab/>
        <w:t xml:space="preserve">Nepředá-li vypůjčitel předmět výpůjčky půjčiteli řádně a včas, tj. v souladu s ujednáním v čl. V odst. 3 této smlouvy, zavazuje se uhradit půjčiteli za neoprávněné užívání předmětu výpůjčky částku, která bude účtována ve výši podnikatelského nájemného stanoveného dle Zásad pro nakládání s pozemky a pro umísťování reklamních zařízeních na pozemcích a stavbách ve vlastnictví statutárního města Pardubice,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tj.: 300,- Kč/m2/rok,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to za celou dobu trvání neoprávněného užívání předmětu výpůjčky. Smluvní strany prohlašují, že tuto částku považují za přiměřenou. Právo na náhradu škody ani splnění povinnosti ujednané v odst. 4 tohoto článku tímto ujednáním nejsou dotčeny.</w:t>
      </w:r>
    </w:p>
    <w:p>
      <w:pPr>
        <w:pStyle w:val="Style12"/>
        <w:keepNext/>
        <w:keepLines/>
        <w:widowControl w:val="0"/>
        <w:numPr>
          <w:ilvl w:val="0"/>
          <w:numId w:val="17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677" w:val="left"/>
        </w:tabs>
        <w:bidi w:val="0"/>
        <w:spacing w:before="0" w:after="0" w:line="240" w:lineRule="auto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Smlouva nabývá platnosti dnem jejího podpisu oběma smluvními stranami a účinnosti dnem jejího zveřejnění v registru smluv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spravovaném Digitální a informační agenturou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souladu se zákonem č. 340/2015 Sb., o zvláštních podmínkách účinnosti některých smluv, uveřejňování těchto smluv a o registru smluv (zákon o registru smluv), v platném znění. Smluvní strany se dohodly, že půjčitel bezodkladně po uzavření této smlouvy odešle smlouvu k řádnému uveřejnění do registru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spravovaného Digitální a informační agenturou.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uveřejnění smlouvy zveřejňující strana bezodkladně informuje druhou smluvní stranu, nebyl-li kontaktní údaj této smluvní strany uveden přímo do registru smluv jako kontakt pro notifikaci o uveřejnění.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677" w:val="left"/>
        </w:tabs>
        <w:bidi w:val="0"/>
        <w:spacing w:before="0" w:after="0" w:line="240" w:lineRule="auto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nebude-li smlouva zveřejněna ani do tří měsíců ode dne, kdy byla uzavřena, platí, že je zrušena od počátku s účinky případného bezdůvodného obohacení.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77" w:val="left"/>
        </w:tabs>
        <w:bidi w:val="0"/>
        <w:spacing w:before="0" w:after="0" w:line="240" w:lineRule="auto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žádná část smlouvy nenaplňuje znaky obchodního tajemství (§ 504 zákona č. 89/2012 Sb., občanský zákoník).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77" w:val="left"/>
        </w:tabs>
        <w:bidi w:val="0"/>
        <w:spacing w:before="0" w:after="0" w:line="240" w:lineRule="auto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povinnosti touto smlouvou výslovně neupravené se řídí příslušnými ustanoveními zákona č. 89/2012 Sb., občanský zákoník v platném znění. Ukáže-li se některé ustanovení této smlouvy neplatné, nemá tato skutečnost vliv na platnost ostatních ustanovení.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77" w:val="left"/>
        </w:tabs>
        <w:bidi w:val="0"/>
        <w:spacing w:before="0" w:after="0" w:line="240" w:lineRule="auto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Tuto smlouvu lze měnit pouze po dohodě obou smluvních stran a pouze formou písemných dodatků. Jinou formou, nežli písemnou, tuto smlouvu měnit nelze.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77" w:val="left"/>
        </w:tabs>
        <w:bidi w:val="0"/>
        <w:spacing w:before="0" w:after="0" w:line="240" w:lineRule="auto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podpisu smlouvy o výpůjčce smluvními stranami bude vypůjčiteli fyzicky předán předmět výpůjčky. O fyzickém předání předmětu výpůjčky bude sepsán zápis.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77" w:val="left"/>
        </w:tabs>
        <w:bidi w:val="0"/>
        <w:spacing w:before="0" w:after="0" w:line="240" w:lineRule="auto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Vypůjčitel bere na vědomí, že jakákoliv změna smlouvy podléhá schválení v příslušných orgánech města.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Vypůjčitel bere na vědomí, že s ohledem na časovou náročnost procesu projednání je nezbytné činit žádosti o změnu smlouvy s dostatečným časovým předstihem,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nejpozději 6 měsíců předem.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77" w:val="left"/>
        </w:tabs>
        <w:bidi w:val="0"/>
        <w:spacing w:before="0" w:after="0" w:line="240" w:lineRule="auto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tuto smlouvu uzavřely svobodně a vážně, nikoli v tísni za nápadně nevýhodných podmínek. Na důkaz toho připojují své vlastnoruční podpisy.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77" w:val="left"/>
        </w:tabs>
        <w:bidi w:val="0"/>
        <w:spacing w:before="0" w:after="240" w:line="240" w:lineRule="auto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výpůjčce je sepsána ve 4 vyhotoveních, z nichž dvě obdrží vypůjčitel a dvě si ponechá půjčitel.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</w:t>
      </w:r>
    </w:p>
    <w:p>
      <w:pPr>
        <w:pStyle w:val="Style21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77" w:val="left"/>
        </w:tabs>
        <w:bidi w:val="0"/>
        <w:spacing w:before="0" w:after="0" w:line="240" w:lineRule="auto"/>
        <w:ind w:left="0" w:right="0" w:firstLine="34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aktualizovaný snímek katastrální mapy se zákresem rozsahu výpůjčky</w:t>
      </w:r>
    </w:p>
    <w:p>
      <w:pPr>
        <w:pStyle w:val="Style21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77" w:val="left"/>
        </w:tabs>
        <w:bidi w:val="0"/>
        <w:spacing w:before="0" w:after="0" w:line="233" w:lineRule="auto"/>
        <w:ind w:left="0" w:right="0" w:firstLine="34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zákres plánované stavby hřiště</w:t>
      </w:r>
    </w:p>
    <w:p>
      <w:pPr>
        <w:pStyle w:val="Style21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77" w:val="left"/>
        </w:tabs>
        <w:bidi w:val="0"/>
        <w:spacing w:before="0" w:after="0" w:line="240" w:lineRule="auto"/>
        <w:ind w:left="0" w:right="0" w:firstLine="34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studie rozšíření areálu sportovního klubu Nemošice</w:t>
      </w:r>
      <w:r>
        <w:br w:type="page"/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Schvalovací doložka dle ust. § 41 zák. č. 128/2000 Sb.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znění pozdějších změn a doplňků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schváleno: RmP dne 27.11.2024 usn. č. R/4617/2024 bod II.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Záměr byl zveřejněn na úřední desce a elektronické úřední desce Magistrátu města Pardubic: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Vyvěšeno dne: 8.11.2024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Svěšeno dne: 24.11.2024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437" w:val="left"/>
        </w:tabs>
        <w:bidi w:val="0"/>
        <w:spacing w:before="0" w:after="7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4505960</wp:posOffset>
                </wp:positionH>
                <wp:positionV relativeFrom="paragraph">
                  <wp:posOffset>660400</wp:posOffset>
                </wp:positionV>
                <wp:extent cx="1250315" cy="541655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50315" cy="541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SK NEMOŠICE z.s.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místopředseda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4.80000000000001pt;margin-top:52.pt;width:98.450000000000003pt;height:42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 NEMOŠICE z.s.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místopředseda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</w:t>
        <w:tab/>
        <w:t>IP..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Ing. Miroslav Macela vedoucí oddělení</w:t>
      </w:r>
    </w:p>
    <w:p>
      <w:pPr>
        <w:widowControl w:val="0"/>
        <w:spacing w:line="1" w:lineRule="exact"/>
        <w:sectPr>
          <w:headerReference w:type="default" r:id="rId11"/>
          <w:footerReference w:type="default" r:id="rId12"/>
          <w:headerReference w:type="even" r:id="rId13"/>
          <w:footerReference w:type="even" r:id="rId14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22" w:right="1448" w:bottom="1558" w:left="1336" w:header="0" w:footer="3" w:gutter="0"/>
          <w:cols w:space="720"/>
          <w:noEndnote/>
          <w:rtlGutter w:val="0"/>
          <w:docGrid w:linePitch="360"/>
        </w:sectPr>
      </w:pPr>
      <w:r>
        <w:drawing>
          <wp:anchor distT="572770" distB="0" distL="0" distR="0" simplePos="0" relativeHeight="125829380" behindDoc="0" locked="0" layoutInCell="1" allowOverlap="1">
            <wp:simplePos x="0" y="0"/>
            <wp:positionH relativeFrom="page">
              <wp:posOffset>921385</wp:posOffset>
            </wp:positionH>
            <wp:positionV relativeFrom="paragraph">
              <wp:posOffset>572770</wp:posOffset>
            </wp:positionV>
            <wp:extent cx="5736590" cy="3956050"/>
            <wp:wrapTopAndBottom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5736590" cy="39560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925830</wp:posOffset>
                </wp:positionH>
                <wp:positionV relativeFrom="paragraph">
                  <wp:posOffset>241300</wp:posOffset>
                </wp:positionV>
                <wp:extent cx="761365" cy="17399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13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Příloha č. 1: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2.900000000000006pt;margin-top:19.pt;width:59.950000000000003pt;height:13.7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Příloha č. 1: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4" w:after="8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44" w:right="0" w:bottom="144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44" w:right="1580" w:bottom="1444" w:left="129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2:</w:t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458" w:right="1593" w:bottom="1458" w:left="1279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5736590" cy="8211185"/>
            <wp:docPr id="27" name="Picut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5736590" cy="82111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0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en-US" w:eastAsia="en-US" w:bidi="en-US"/>
        </w:rPr>
        <w:t xml:space="preserve">Creo Plan </w:t>
      </w: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s.r.o.,17. listopadu 400, Pardubice 5JO 02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PRŮVODNÍ ZPRÁVA</w:t>
      </w:r>
    </w:p>
    <w:p>
      <w:pPr>
        <w:pStyle w:val="Style3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a.iidentifikační</w:t>
      </w:r>
      <w:r>
        <w:rPr>
          <w:smallCap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ÚDAJE d </w:t>
      </w:r>
      <w:r>
        <w:rPr>
          <w:i/>
          <w:iCs/>
          <w:smallCap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LLdMeJLSiatité</w:t>
      </w:r>
    </w:p>
    <w:p>
      <w:pPr>
        <w:pStyle w:val="Style25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15" w:val="left"/>
          <w:tab w:pos="536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stavby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Studie rozšíření areálu sportovního klubu NemoŠice</w:t>
      </w:r>
    </w:p>
    <w:p>
      <w:pPr>
        <w:pStyle w:val="Style25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15" w:val="left"/>
          <w:tab w:pos="536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Misto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Pardubice - NemoŠice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742" w:right="2094" w:bottom="2891" w:left="237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95885" distB="3671570" distL="0" distR="0" simplePos="0" relativeHeight="125829381" behindDoc="0" locked="0" layoutInCell="1" allowOverlap="1">
                <wp:simplePos x="0" y="0"/>
                <wp:positionH relativeFrom="page">
                  <wp:posOffset>1689100</wp:posOffset>
                </wp:positionH>
                <wp:positionV relativeFrom="paragraph">
                  <wp:posOffset>95885</wp:posOffset>
                </wp:positionV>
                <wp:extent cx="121285" cy="153035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28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33.pt;margin-top:7.5499999999999998pt;width:9.5500000000000007pt;height:12.050000000000001pt;z-index:-125829372;mso-wrap-distance-left:0;mso-wrap-distance-top:7.5499999999999998pt;mso-wrap-distance-right:0;mso-wrap-distance-bottom:289.10000000000002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868680" distB="0" distL="0" distR="45720" simplePos="0" relativeHeight="125829383" behindDoc="0" locked="0" layoutInCell="1" allowOverlap="1">
            <wp:simplePos x="0" y="0"/>
            <wp:positionH relativeFrom="page">
              <wp:posOffset>1647825</wp:posOffset>
            </wp:positionH>
            <wp:positionV relativeFrom="paragraph">
              <wp:posOffset>868680</wp:posOffset>
            </wp:positionV>
            <wp:extent cx="4535170" cy="3054350"/>
            <wp:wrapTopAndBottom/>
            <wp:docPr id="30" name="Shap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4535170" cy="30543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1858010</wp:posOffset>
                </wp:positionH>
                <wp:positionV relativeFrom="paragraph">
                  <wp:posOffset>88900</wp:posOffset>
                </wp:positionV>
                <wp:extent cx="4370705" cy="777240"/>
                <wp:wrapNone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70705" cy="777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Předmět studie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Studie řeší výstavbu moderního zázemí a rozšíření stávajícího areálu sportovního klubu v Nemošicích. Stavba je navržena na zelené louce, celý areál bude oplocen. Dle územního plánu města Pardubice se jedná o zastavitelnou plochu na východním okraji sídla NemoŠice - XCHb/28 pro zeleň rekreační ZR. V lokalitě budou jako rozšíření stávajícího sportovního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46.30000000000001pt;margin-top:7.pt;width:344.15000000000003pt;height:61.200000000000003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 studie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Studie řeší výstavbu moderního zázemí a rozšíření stávajícího areálu sportovního klubu v Nemošicích. Stavba je navržena na zelené louce, celý areál bude oplocen. Dle územního plánu města Pardubice se jedná o zastavitelnou plochu na východním okraji sídla NemoŠice - XCHb/28 pro zeleň rekreační ZR. V lokalitě budou jako rozšíření stávajícího sportovního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103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42" w:right="0" w:bottom="174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Dominantní prvek celého projektu je umělá tráva páté generace s umělým osvětlením. Součástí rozšíření celého areálu jsou pak kabiny o pěti šatnách se sprchami, z toho jedna pro rozhodčí, jedné kanceláře a kiosku s venkovním posezením. V areálu je počítáno s vybudováním multiíúnkčního asfaltového povrchu s mantinely (basketbal, hokej bal, nohejbal, ...). plochy pro nafukovací halu a venkovní posilovna s dětským hřištěm.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520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Areál je opatřen dostatečným počtem parkovacích stání, které jsou umístěny u sjezdu z ulice Mnětická v severozápadní části. Ve stejném místě jsou navrženy i inženýrské sítě -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5741670</wp:posOffset>
                </wp:positionH>
                <wp:positionV relativeFrom="paragraph">
                  <wp:posOffset>12700</wp:posOffset>
                </wp:positionV>
                <wp:extent cx="338455" cy="191770"/>
                <wp:wrapSquare wrapText="left"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Strana: t</w:t>
                            </w:r>
                          </w:p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Celkem: 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452.10000000000002pt;margin-top:1.pt;width:26.650000000000002pt;height:15.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Strana: t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Celkem: 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Nňaer Mwue/ifif: Studie nxdtetd aryiSu sportovního tintm NemoŠice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 do (hktanrnf u : 193-21-2 rrin odti sprúva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742" w:right="2094" w:bottom="1742" w:left="237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3359150</wp:posOffset>
              </wp:positionH>
              <wp:positionV relativeFrom="page">
                <wp:posOffset>10009505</wp:posOffset>
              </wp:positionV>
              <wp:extent cx="728980" cy="9398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898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64.5pt;margin-top:788.14999999999998pt;width:57.399999999999999pt;height:7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3359150</wp:posOffset>
              </wp:positionH>
              <wp:positionV relativeFrom="page">
                <wp:posOffset>10009505</wp:posOffset>
              </wp:positionV>
              <wp:extent cx="728980" cy="9398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898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64.5pt;margin-top:788.14999999999998pt;width:57.399999999999999pt;height:7.4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3372485</wp:posOffset>
              </wp:positionH>
              <wp:positionV relativeFrom="page">
                <wp:posOffset>10010775</wp:posOffset>
              </wp:positionV>
              <wp:extent cx="731520" cy="9842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1520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65.55000000000001pt;margin-top:788.25pt;width:57.600000000000001pt;height:7.7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3355975</wp:posOffset>
              </wp:positionH>
              <wp:positionV relativeFrom="page">
                <wp:posOffset>10015220</wp:posOffset>
              </wp:positionV>
              <wp:extent cx="734060" cy="9588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4060" cy="958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64.25pt;margin-top:788.60000000000002pt;width:57.800000000000004pt;height:7.5499999999999998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3372485</wp:posOffset>
              </wp:positionH>
              <wp:positionV relativeFrom="page">
                <wp:posOffset>10010775</wp:posOffset>
              </wp:positionV>
              <wp:extent cx="731520" cy="9842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1520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65.55000000000001pt;margin-top:788.25pt;width:57.600000000000001pt;height:7.7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5859780</wp:posOffset>
              </wp:positionH>
              <wp:positionV relativeFrom="page">
                <wp:posOffset>502285</wp:posOffset>
              </wp:positionV>
              <wp:extent cx="728980" cy="9842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8980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V 0554/MO4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1.40000000000003pt;margin-top:39.550000000000004pt;width:57.399999999999999pt;height: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V 0554/MO4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5859780</wp:posOffset>
              </wp:positionH>
              <wp:positionV relativeFrom="page">
                <wp:posOffset>502285</wp:posOffset>
              </wp:positionV>
              <wp:extent cx="728980" cy="9842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8980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V 0554/MO4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61.40000000000003pt;margin-top:39.550000000000004pt;width:57.399999999999999pt;height: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V 0554/MO4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5877560</wp:posOffset>
              </wp:positionH>
              <wp:positionV relativeFrom="page">
                <wp:posOffset>480060</wp:posOffset>
              </wp:positionV>
              <wp:extent cx="735965" cy="11874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596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V_0554/MO4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62.80000000000001pt;margin-top:37.800000000000004pt;width:57.950000000000003pt;height:9.34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V_0554/MO4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5870575</wp:posOffset>
              </wp:positionH>
              <wp:positionV relativeFrom="page">
                <wp:posOffset>498475</wp:posOffset>
              </wp:positionV>
              <wp:extent cx="735965" cy="11874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596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V-0554/MO4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62.25pt;margin-top:39.25pt;width:57.950000000000003pt;height:9.349999999999999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V-0554/MO4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5877560</wp:posOffset>
              </wp:positionH>
              <wp:positionV relativeFrom="page">
                <wp:posOffset>480060</wp:posOffset>
              </wp:positionV>
              <wp:extent cx="735965" cy="11874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596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V_0554/MO4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62.80000000000001pt;margin-top:37.800000000000004pt;width:57.950000000000003pt;height:9.3499999999999996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V_0554/MO4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5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lowerLetter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6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Záhlaví nebo zápatí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Nadpis #2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Nadpis #1_"/>
    <w:basedOn w:val="DefaultParagraphFont"/>
    <w:link w:val="Style14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8">
    <w:name w:val="Záhlaví nebo zápatí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Základní text (3)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6">
    <w:name w:val="Základní text (2)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0">
    <w:name w:val="Základní text (4)_"/>
    <w:basedOn w:val="DefaultParagraphFont"/>
    <w:link w:val="Style29"/>
    <w:rPr>
      <w:rFonts w:ascii="Times New Roman" w:eastAsia="Times New Roman" w:hAnsi="Times New Roman" w:cs="Times New Roman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CharStyle33">
    <w:name w:val="Základní text (7)_"/>
    <w:basedOn w:val="DefaultParagraphFont"/>
    <w:link w:val="Style3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auto"/>
      <w:spacing w:line="283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Záhlaví nebo zápatí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auto"/>
      <w:spacing w:after="390" w:line="233" w:lineRule="auto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7">
    <w:name w:val="Záhlaví nebo zápatí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5">
    <w:name w:val="Základní text (2)"/>
    <w:basedOn w:val="Normal"/>
    <w:link w:val="CharStyle26"/>
    <w:pPr>
      <w:widowControl w:val="0"/>
      <w:shd w:val="clear" w:color="auto" w:fill="auto"/>
      <w:spacing w:after="20" w:line="283" w:lineRule="auto"/>
      <w:ind w:left="5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9">
    <w:name w:val="Základní text (4)"/>
    <w:basedOn w:val="Normal"/>
    <w:link w:val="CharStyle30"/>
    <w:pPr>
      <w:widowControl w:val="0"/>
      <w:shd w:val="clear" w:color="auto" w:fill="auto"/>
      <w:spacing w:after="120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12"/>
      <w:szCs w:val="12"/>
      <w:u w:val="none"/>
    </w:rPr>
  </w:style>
  <w:style w:type="paragraph" w:customStyle="1" w:styleId="Style32">
    <w:name w:val="Základní text (7)"/>
    <w:basedOn w:val="Normal"/>
    <w:link w:val="CharStyle33"/>
    <w:pPr>
      <w:widowControl w:val="0"/>
      <w:shd w:val="clear" w:color="auto" w:fill="auto"/>
      <w:spacing w:after="40" w:line="271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image" Target="media/image1.jpeg"/><Relationship Id="rId16" Type="http://schemas.openxmlformats.org/officeDocument/2006/relationships/image" Target="media/image1.jpeg" TargetMode="External"/><Relationship Id="rId17" Type="http://schemas.openxmlformats.org/officeDocument/2006/relationships/image" Target="media/image2.jpeg"/><Relationship Id="rId18" Type="http://schemas.openxmlformats.org/officeDocument/2006/relationships/image" Target="media/image2.jpeg" TargetMode="External"/><Relationship Id="rId19" Type="http://schemas.openxmlformats.org/officeDocument/2006/relationships/image" Target="media/image3.jpeg"/><Relationship Id="rId20" Type="http://schemas.openxmlformats.org/officeDocument/2006/relationships/image" Target="media/image3.jpeg" TargetMode="External"/></Relationships>
</file>