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48866" w14:textId="77777777" w:rsidR="001639DC" w:rsidRDefault="00C83994" w:rsidP="001610D9">
      <w:pPr>
        <w:pStyle w:val="Nadpis1"/>
        <w:rPr>
          <w:b w:val="0"/>
          <w:sz w:val="28"/>
          <w:szCs w:val="28"/>
        </w:rPr>
      </w:pPr>
      <w:bookmarkStart w:id="0" w:name="_heading=h.gjdgxs" w:colFirst="0" w:colLast="0"/>
      <w:bookmarkEnd w:id="0"/>
      <w:r>
        <w:rPr>
          <w:rFonts w:ascii="Arial" w:eastAsia="Arial" w:hAnsi="Arial" w:cs="Arial"/>
          <w:sz w:val="20"/>
          <w:szCs w:val="20"/>
        </w:rPr>
        <w:t xml:space="preserve"> </w:t>
      </w:r>
    </w:p>
    <w:p w14:paraId="7CA18E43" w14:textId="77777777" w:rsidR="001639DC" w:rsidRDefault="00C83994">
      <w:pPr>
        <w:jc w:val="center"/>
        <w:rPr>
          <w:b/>
        </w:rPr>
      </w:pPr>
      <w:r>
        <w:rPr>
          <w:b/>
        </w:rPr>
        <w:t>Smlouva o podpoře SW pro Centrální monitoring</w:t>
      </w:r>
    </w:p>
    <w:p w14:paraId="5CDB9F0B" w14:textId="407012BF" w:rsidR="001639DC" w:rsidRPr="007F0E35" w:rsidRDefault="00C83994">
      <w:pPr>
        <w:jc w:val="center"/>
        <w:rPr>
          <w:b/>
        </w:rPr>
      </w:pPr>
      <w:r>
        <w:rPr>
          <w:b/>
        </w:rPr>
        <w:t>č</w:t>
      </w:r>
      <w:r w:rsidRPr="007F0E35">
        <w:rPr>
          <w:b/>
        </w:rPr>
        <w:t xml:space="preserve">. </w:t>
      </w:r>
      <w:r w:rsidR="005A1AE0">
        <w:rPr>
          <w:b/>
        </w:rPr>
        <w:t>2400430</w:t>
      </w:r>
      <w:r w:rsidR="005A1AE0" w:rsidRPr="007F0E35">
        <w:rPr>
          <w:b/>
        </w:rPr>
        <w:t>/4100064599</w:t>
      </w:r>
      <w:r w:rsidR="005A1AE0" w:rsidRPr="007F0E35" w:rsidDel="005A1AE0">
        <w:rPr>
          <w:b/>
        </w:rPr>
        <w:t xml:space="preserve"> </w:t>
      </w:r>
    </w:p>
    <w:p w14:paraId="707148D4" w14:textId="77777777" w:rsidR="001639DC" w:rsidRDefault="00C83994">
      <w:pPr>
        <w:jc w:val="center"/>
      </w:pPr>
      <w:r>
        <w:t xml:space="preserve">uzavřená podle § 1746 odst. 2 a § 2358 a násl. zákona č. 89/2012 Sb., občanský zákoník, ve znění pozdějších předpisů, a v souladu se zákonem </w:t>
      </w:r>
      <w:r>
        <w:rPr>
          <w:color w:val="000000"/>
        </w:rPr>
        <w:t>č. 121/2000 Sb., o právu autorském, o právech souvisejících s právem autorským a o změně některých zákonů (autorský zákon),</w:t>
      </w:r>
      <w:r>
        <w:rPr>
          <w:color w:val="000000"/>
        </w:rPr>
        <w:br/>
        <w:t>ve znění pozdějších předpisů</w:t>
      </w:r>
    </w:p>
    <w:p w14:paraId="4503D311" w14:textId="77777777" w:rsidR="001639DC" w:rsidRDefault="00C83994">
      <w:pPr>
        <w:jc w:val="center"/>
        <w:rPr>
          <w:b/>
        </w:rPr>
      </w:pPr>
      <w:r>
        <w:br/>
      </w:r>
      <w:r>
        <w:rPr>
          <w:b/>
        </w:rPr>
        <w:t>(dále jen „Smlouva“)</w:t>
      </w:r>
    </w:p>
    <w:p w14:paraId="3EC51C4D" w14:textId="77777777" w:rsidR="001639DC" w:rsidRDefault="00C83994">
      <w:pPr>
        <w:spacing w:after="120"/>
        <w:jc w:val="center"/>
        <w:rPr>
          <w:b/>
        </w:rPr>
      </w:pPr>
      <w:r>
        <w:rPr>
          <w:b/>
        </w:rPr>
        <w:t>ID VZ: 2400430</w:t>
      </w:r>
    </w:p>
    <w:p w14:paraId="2ADB89BE" w14:textId="77777777" w:rsidR="001639DC" w:rsidRDefault="001639DC">
      <w:pPr>
        <w:pBdr>
          <w:top w:val="nil"/>
          <w:left w:val="nil"/>
          <w:bottom w:val="nil"/>
          <w:right w:val="nil"/>
          <w:between w:val="nil"/>
        </w:pBdr>
        <w:spacing w:line="360" w:lineRule="auto"/>
        <w:jc w:val="center"/>
        <w:rPr>
          <w:rFonts w:eastAsia="Arial" w:cs="Arial"/>
          <w:color w:val="000000"/>
          <w:szCs w:val="20"/>
        </w:rPr>
      </w:pPr>
    </w:p>
    <w:p w14:paraId="43401AB6" w14:textId="77777777" w:rsidR="001639DC" w:rsidRDefault="00C83994">
      <w:pPr>
        <w:keepNext/>
        <w:jc w:val="center"/>
        <w:rPr>
          <w:b/>
        </w:rPr>
      </w:pPr>
      <w:r>
        <w:rPr>
          <w:b/>
        </w:rPr>
        <w:t>Smluvní strany:</w:t>
      </w:r>
    </w:p>
    <w:p w14:paraId="0D4D860C" w14:textId="77777777" w:rsidR="001639DC" w:rsidRDefault="001639DC">
      <w:pPr>
        <w:ind w:left="426"/>
      </w:pPr>
    </w:p>
    <w:p w14:paraId="721C2A3C" w14:textId="77777777" w:rsidR="001639DC" w:rsidRDefault="001639DC">
      <w:pPr>
        <w:spacing w:line="276" w:lineRule="auto"/>
        <w:ind w:left="426"/>
        <w:rPr>
          <w:color w:val="00000A"/>
        </w:rPr>
      </w:pPr>
    </w:p>
    <w:p w14:paraId="3D8D429F" w14:textId="77777777" w:rsidR="001639DC" w:rsidRDefault="00C83994">
      <w:pPr>
        <w:widowControl w:val="0"/>
        <w:spacing w:line="276" w:lineRule="auto"/>
        <w:ind w:left="426" w:hanging="426"/>
        <w:rPr>
          <w:b/>
          <w:i/>
          <w:color w:val="00000A"/>
        </w:rPr>
      </w:pPr>
      <w:r>
        <w:rPr>
          <w:b/>
          <w:color w:val="00000A"/>
        </w:rPr>
        <w:t>1. Všeobecná zdravotní pojišťovna České republiky</w:t>
      </w:r>
    </w:p>
    <w:p w14:paraId="6F41AD4B" w14:textId="77777777" w:rsidR="001639DC" w:rsidRDefault="00C83994">
      <w:pPr>
        <w:tabs>
          <w:tab w:val="left" w:pos="1701"/>
        </w:tabs>
        <w:spacing w:line="276" w:lineRule="auto"/>
        <w:ind w:left="426" w:hanging="426"/>
        <w:rPr>
          <w:color w:val="00000A"/>
        </w:rPr>
      </w:pPr>
      <w:r>
        <w:rPr>
          <w:color w:val="00000A"/>
        </w:rPr>
        <w:t>se sídlem:</w:t>
      </w:r>
      <w:r>
        <w:rPr>
          <w:color w:val="00000A"/>
        </w:rPr>
        <w:tab/>
        <w:t xml:space="preserve"> </w:t>
      </w:r>
      <w:r>
        <w:rPr>
          <w:color w:val="00000A"/>
        </w:rPr>
        <w:tab/>
      </w:r>
      <w:r>
        <w:rPr>
          <w:color w:val="00000A"/>
        </w:rPr>
        <w:tab/>
        <w:t>Orlická 2020/4, 130 00 Praha 3</w:t>
      </w:r>
    </w:p>
    <w:p w14:paraId="45A206CA" w14:textId="77777777" w:rsidR="001639DC" w:rsidRDefault="00C83994">
      <w:pPr>
        <w:tabs>
          <w:tab w:val="left" w:pos="1701"/>
        </w:tabs>
        <w:spacing w:line="276" w:lineRule="auto"/>
        <w:ind w:left="426" w:hanging="426"/>
        <w:rPr>
          <w:color w:val="00000A"/>
        </w:rPr>
      </w:pPr>
      <w:r>
        <w:rPr>
          <w:color w:val="00000A"/>
        </w:rPr>
        <w:t xml:space="preserve">kterou zastupuje: </w:t>
      </w:r>
      <w:r>
        <w:rPr>
          <w:color w:val="00000A"/>
        </w:rPr>
        <w:tab/>
      </w:r>
      <w:r>
        <w:rPr>
          <w:color w:val="00000A"/>
        </w:rPr>
        <w:tab/>
      </w:r>
      <w:r>
        <w:rPr>
          <w:color w:val="00000A"/>
        </w:rPr>
        <w:tab/>
        <w:t>Ing. Zdeněk Kabátek, ředitel VZP ČR</w:t>
      </w:r>
    </w:p>
    <w:p w14:paraId="73EB46A0" w14:textId="77777777" w:rsidR="001639DC" w:rsidRDefault="00C83994">
      <w:pPr>
        <w:tabs>
          <w:tab w:val="left" w:pos="1701"/>
        </w:tabs>
        <w:spacing w:line="276" w:lineRule="auto"/>
        <w:ind w:left="426" w:hanging="426"/>
        <w:rPr>
          <w:color w:val="00000A"/>
        </w:rPr>
      </w:pPr>
      <w:r>
        <w:rPr>
          <w:color w:val="00000A"/>
        </w:rPr>
        <w:t xml:space="preserve">IČO: </w:t>
      </w:r>
      <w:r>
        <w:rPr>
          <w:color w:val="00000A"/>
        </w:rPr>
        <w:tab/>
      </w:r>
      <w:r>
        <w:rPr>
          <w:color w:val="00000A"/>
        </w:rPr>
        <w:tab/>
      </w:r>
      <w:r>
        <w:rPr>
          <w:color w:val="00000A"/>
        </w:rPr>
        <w:tab/>
        <w:t>411 97 518</w:t>
      </w:r>
    </w:p>
    <w:p w14:paraId="240160C3" w14:textId="77777777" w:rsidR="001639DC" w:rsidRDefault="00C83994">
      <w:pPr>
        <w:tabs>
          <w:tab w:val="left" w:pos="1701"/>
        </w:tabs>
        <w:spacing w:line="276" w:lineRule="auto"/>
        <w:ind w:left="426" w:hanging="426"/>
        <w:rPr>
          <w:color w:val="00000A"/>
        </w:rPr>
      </w:pPr>
      <w:r>
        <w:rPr>
          <w:color w:val="00000A"/>
        </w:rPr>
        <w:t>DIČ:</w:t>
      </w:r>
      <w:r>
        <w:rPr>
          <w:color w:val="00000A"/>
        </w:rPr>
        <w:tab/>
      </w:r>
      <w:r>
        <w:rPr>
          <w:color w:val="00000A"/>
        </w:rPr>
        <w:tab/>
      </w:r>
      <w:r>
        <w:rPr>
          <w:color w:val="00000A"/>
        </w:rPr>
        <w:tab/>
      </w:r>
      <w:r>
        <w:rPr>
          <w:color w:val="00000A"/>
        </w:rPr>
        <w:tab/>
      </w:r>
      <w:r>
        <w:t>CZ</w:t>
      </w:r>
      <w:r>
        <w:rPr>
          <w:color w:val="00000A"/>
        </w:rPr>
        <w:t>41197518</w:t>
      </w:r>
    </w:p>
    <w:p w14:paraId="63E9DD66" w14:textId="77777777" w:rsidR="001639DC" w:rsidRDefault="00C83994">
      <w:pPr>
        <w:tabs>
          <w:tab w:val="left" w:pos="1701"/>
        </w:tabs>
        <w:spacing w:line="276" w:lineRule="auto"/>
        <w:rPr>
          <w:color w:val="00000A"/>
        </w:rPr>
      </w:pPr>
      <w:r>
        <w:rPr>
          <w:color w:val="00000A"/>
        </w:rPr>
        <w:t xml:space="preserve">Bankovní spojení: </w:t>
      </w:r>
      <w:r>
        <w:rPr>
          <w:color w:val="00000A"/>
        </w:rPr>
        <w:tab/>
      </w:r>
      <w:r>
        <w:rPr>
          <w:color w:val="00000A"/>
        </w:rPr>
        <w:tab/>
      </w:r>
      <w:r>
        <w:rPr>
          <w:color w:val="00000A"/>
        </w:rPr>
        <w:tab/>
        <w:t>Česká národní banka, Praha 1, Na Příkopě 28</w:t>
      </w:r>
    </w:p>
    <w:p w14:paraId="1DDF739D" w14:textId="77777777" w:rsidR="001639DC" w:rsidRDefault="00C83994">
      <w:pPr>
        <w:tabs>
          <w:tab w:val="left" w:pos="1701"/>
        </w:tabs>
        <w:spacing w:line="276" w:lineRule="auto"/>
        <w:rPr>
          <w:color w:val="00000A"/>
        </w:rPr>
      </w:pPr>
      <w:r>
        <w:rPr>
          <w:color w:val="00000A"/>
        </w:rPr>
        <w:t>Číslo účtu:</w:t>
      </w:r>
      <w:r>
        <w:rPr>
          <w:color w:val="00000A"/>
        </w:rPr>
        <w:tab/>
      </w:r>
      <w:r>
        <w:rPr>
          <w:color w:val="00000A"/>
        </w:rPr>
        <w:tab/>
      </w:r>
      <w:r>
        <w:rPr>
          <w:color w:val="00000A"/>
        </w:rPr>
        <w:tab/>
        <w:t>1110205001/0710</w:t>
      </w:r>
    </w:p>
    <w:p w14:paraId="2063148C" w14:textId="77777777" w:rsidR="001639DC" w:rsidRDefault="00C83994">
      <w:pPr>
        <w:tabs>
          <w:tab w:val="left" w:pos="1701"/>
        </w:tabs>
        <w:spacing w:line="276" w:lineRule="auto"/>
        <w:rPr>
          <w:color w:val="00000A"/>
        </w:rPr>
      </w:pPr>
      <w:r>
        <w:rPr>
          <w:color w:val="00000A"/>
        </w:rPr>
        <w:t>Zřízena zákonem č. 551/1991 Sb., o Všeobecné zdravotní pojišťovně České republiky, ve znění pozdějších předpisů</w:t>
      </w:r>
    </w:p>
    <w:p w14:paraId="1417EF6A" w14:textId="77777777" w:rsidR="001639DC" w:rsidRDefault="001639DC">
      <w:pPr>
        <w:tabs>
          <w:tab w:val="left" w:pos="1701"/>
        </w:tabs>
        <w:spacing w:line="276" w:lineRule="auto"/>
        <w:rPr>
          <w:color w:val="00000A"/>
        </w:rPr>
      </w:pPr>
    </w:p>
    <w:p w14:paraId="754883F4" w14:textId="77777777" w:rsidR="001639DC" w:rsidRDefault="00C83994">
      <w:pPr>
        <w:tabs>
          <w:tab w:val="left" w:pos="1701"/>
        </w:tabs>
        <w:spacing w:line="276" w:lineRule="auto"/>
        <w:ind w:left="426" w:hanging="426"/>
        <w:rPr>
          <w:color w:val="00000A"/>
        </w:rPr>
      </w:pPr>
      <w:r>
        <w:rPr>
          <w:color w:val="00000A"/>
        </w:rPr>
        <w:t>(dále jen „</w:t>
      </w:r>
      <w:r>
        <w:rPr>
          <w:b/>
          <w:color w:val="00000A"/>
        </w:rPr>
        <w:t>VZP ČR</w:t>
      </w:r>
      <w:r>
        <w:rPr>
          <w:color w:val="00000A"/>
        </w:rPr>
        <w:t>“ nebo „</w:t>
      </w:r>
      <w:r>
        <w:rPr>
          <w:b/>
          <w:color w:val="00000A"/>
        </w:rPr>
        <w:t>Objednatel</w:t>
      </w:r>
      <w:r>
        <w:rPr>
          <w:color w:val="00000A"/>
        </w:rPr>
        <w:t>“)</w:t>
      </w:r>
    </w:p>
    <w:p w14:paraId="79FB2EA9" w14:textId="77777777" w:rsidR="001639DC" w:rsidRDefault="00C83994">
      <w:pPr>
        <w:spacing w:line="276" w:lineRule="auto"/>
        <w:jc w:val="center"/>
        <w:rPr>
          <w:b/>
        </w:rPr>
      </w:pPr>
      <w:r>
        <w:rPr>
          <w:b/>
        </w:rPr>
        <w:t xml:space="preserve">a </w:t>
      </w:r>
    </w:p>
    <w:p w14:paraId="3439EF86" w14:textId="77777777" w:rsidR="001639DC" w:rsidRDefault="001639DC">
      <w:pPr>
        <w:spacing w:line="276" w:lineRule="auto"/>
        <w:ind w:left="1416" w:hanging="1132"/>
        <w:rPr>
          <w:sz w:val="22"/>
          <w:szCs w:val="22"/>
        </w:rPr>
      </w:pPr>
    </w:p>
    <w:p w14:paraId="2DA6B156" w14:textId="77777777" w:rsidR="001639DC" w:rsidRDefault="00C83994">
      <w:pPr>
        <w:tabs>
          <w:tab w:val="left" w:pos="1701"/>
        </w:tabs>
        <w:spacing w:line="276" w:lineRule="auto"/>
        <w:ind w:left="425" w:hanging="426"/>
        <w:rPr>
          <w:b/>
        </w:rPr>
      </w:pPr>
      <w:r>
        <w:rPr>
          <w:b/>
        </w:rPr>
        <w:t xml:space="preserve">2. SG Solutions s.r.o. </w:t>
      </w:r>
    </w:p>
    <w:p w14:paraId="6EEDF8EC" w14:textId="77777777" w:rsidR="001639DC" w:rsidRDefault="00C83994">
      <w:pPr>
        <w:tabs>
          <w:tab w:val="left" w:pos="1701"/>
        </w:tabs>
        <w:spacing w:line="276" w:lineRule="auto"/>
        <w:ind w:left="425" w:hanging="426"/>
      </w:pPr>
      <w:r>
        <w:t>se sídlem:</w:t>
      </w:r>
      <w:r>
        <w:tab/>
      </w:r>
      <w:r>
        <w:tab/>
      </w:r>
      <w:r>
        <w:tab/>
        <w:t xml:space="preserve">Plzeňská 3350/18, Smíchov, 150 00 Praha 5 </w:t>
      </w:r>
    </w:p>
    <w:p w14:paraId="3A7356EB" w14:textId="77777777" w:rsidR="001639DC" w:rsidRDefault="00C83994">
      <w:pPr>
        <w:tabs>
          <w:tab w:val="left" w:pos="1701"/>
        </w:tabs>
        <w:spacing w:line="276" w:lineRule="auto"/>
        <w:ind w:left="425" w:hanging="426"/>
      </w:pPr>
      <w:r>
        <w:t>kterou zastupuje:</w:t>
      </w:r>
      <w:r>
        <w:tab/>
      </w:r>
      <w:r>
        <w:tab/>
      </w:r>
      <w:r>
        <w:tab/>
        <w:t xml:space="preserve">Ing. Jindřich Kasal, jednatel </w:t>
      </w:r>
    </w:p>
    <w:p w14:paraId="75DA3F79" w14:textId="77777777" w:rsidR="001639DC" w:rsidRDefault="00C83994">
      <w:pPr>
        <w:tabs>
          <w:tab w:val="left" w:pos="1701"/>
        </w:tabs>
        <w:spacing w:line="276" w:lineRule="auto"/>
        <w:ind w:left="425" w:hanging="426"/>
      </w:pPr>
      <w:r>
        <w:t>IČO:</w:t>
      </w:r>
      <w:r>
        <w:tab/>
      </w:r>
      <w:r>
        <w:tab/>
      </w:r>
      <w:r>
        <w:tab/>
      </w:r>
      <w:r>
        <w:tab/>
        <w:t>21053588</w:t>
      </w:r>
    </w:p>
    <w:p w14:paraId="50C1F772" w14:textId="77777777" w:rsidR="001639DC" w:rsidRDefault="00C83994">
      <w:pPr>
        <w:tabs>
          <w:tab w:val="left" w:pos="1701"/>
        </w:tabs>
        <w:spacing w:line="276" w:lineRule="auto"/>
        <w:ind w:left="425" w:hanging="426"/>
      </w:pPr>
      <w:r>
        <w:t>DIČ:</w:t>
      </w:r>
      <w:r>
        <w:tab/>
      </w:r>
      <w:r>
        <w:tab/>
      </w:r>
      <w:r>
        <w:tab/>
      </w:r>
      <w:r>
        <w:tab/>
        <w:t xml:space="preserve">CZ21053588 </w:t>
      </w:r>
    </w:p>
    <w:p w14:paraId="3C3EBF3C" w14:textId="77777777" w:rsidR="001639DC" w:rsidRDefault="00C83994">
      <w:pPr>
        <w:tabs>
          <w:tab w:val="left" w:pos="1701"/>
        </w:tabs>
        <w:spacing w:line="276" w:lineRule="auto"/>
        <w:ind w:left="425" w:hanging="426"/>
      </w:pPr>
      <w:r>
        <w:t>Bankovní spojení:</w:t>
      </w:r>
      <w:r>
        <w:tab/>
      </w:r>
      <w:r>
        <w:tab/>
      </w:r>
      <w:r>
        <w:tab/>
        <w:t xml:space="preserve">Komerční banka, a.s. </w:t>
      </w:r>
    </w:p>
    <w:p w14:paraId="4E3B2D13" w14:textId="77777777" w:rsidR="001639DC" w:rsidRDefault="00C83994">
      <w:pPr>
        <w:tabs>
          <w:tab w:val="left" w:pos="1701"/>
        </w:tabs>
        <w:spacing w:line="276" w:lineRule="auto"/>
        <w:ind w:left="425" w:hanging="426"/>
      </w:pPr>
      <w:bookmarkStart w:id="1" w:name="_heading=h.30j0zll" w:colFirst="0" w:colLast="0"/>
      <w:bookmarkEnd w:id="1"/>
      <w:r>
        <w:t>Číslo účtu:</w:t>
      </w:r>
      <w:r>
        <w:tab/>
      </w:r>
      <w:r>
        <w:tab/>
      </w:r>
      <w:r>
        <w:tab/>
        <w:t xml:space="preserve">131-2245400247/0100 </w:t>
      </w:r>
    </w:p>
    <w:p w14:paraId="4F3D084B" w14:textId="77777777" w:rsidR="001639DC" w:rsidRDefault="001639DC">
      <w:pPr>
        <w:tabs>
          <w:tab w:val="left" w:pos="1701"/>
        </w:tabs>
        <w:spacing w:line="276" w:lineRule="auto"/>
        <w:ind w:left="426" w:hanging="426"/>
      </w:pPr>
    </w:p>
    <w:p w14:paraId="73740FA4" w14:textId="77777777" w:rsidR="001639DC" w:rsidRDefault="00C83994">
      <w:pPr>
        <w:tabs>
          <w:tab w:val="left" w:pos="1701"/>
        </w:tabs>
        <w:spacing w:line="276" w:lineRule="auto"/>
      </w:pPr>
      <w:r>
        <w:t>Zapsaná v obchodním rejstříku vedeném Městským soudem v Praze, oddíl C, vložka 396236</w:t>
      </w:r>
    </w:p>
    <w:p w14:paraId="46890415" w14:textId="77777777" w:rsidR="001639DC" w:rsidRDefault="001639DC">
      <w:pPr>
        <w:tabs>
          <w:tab w:val="left" w:pos="1701"/>
        </w:tabs>
        <w:spacing w:line="276" w:lineRule="auto"/>
      </w:pPr>
    </w:p>
    <w:p w14:paraId="116E7D10" w14:textId="77777777" w:rsidR="001639DC" w:rsidRDefault="00C83994">
      <w:pPr>
        <w:tabs>
          <w:tab w:val="left" w:pos="1701"/>
        </w:tabs>
        <w:spacing w:line="276" w:lineRule="auto"/>
        <w:ind w:left="426" w:hanging="426"/>
      </w:pPr>
      <w:r>
        <w:t>(dále jen „</w:t>
      </w:r>
      <w:r>
        <w:rPr>
          <w:b/>
        </w:rPr>
        <w:t>Poskytovatel</w:t>
      </w:r>
      <w:r>
        <w:t>“)</w:t>
      </w:r>
    </w:p>
    <w:p w14:paraId="56C083B6" w14:textId="77777777" w:rsidR="001639DC" w:rsidRDefault="001639DC">
      <w:pPr>
        <w:tabs>
          <w:tab w:val="left" w:pos="1701"/>
        </w:tabs>
        <w:spacing w:line="276" w:lineRule="auto"/>
        <w:ind w:left="426" w:hanging="426"/>
      </w:pPr>
    </w:p>
    <w:p w14:paraId="3289C019" w14:textId="77777777" w:rsidR="001639DC" w:rsidRDefault="00C83994">
      <w:pPr>
        <w:tabs>
          <w:tab w:val="left" w:pos="1701"/>
        </w:tabs>
        <w:spacing w:line="276" w:lineRule="auto"/>
        <w:ind w:left="426" w:hanging="426"/>
      </w:pPr>
      <w:r>
        <w:t>(společně též „</w:t>
      </w:r>
      <w:r>
        <w:rPr>
          <w:b/>
        </w:rPr>
        <w:t>Smluvní strany</w:t>
      </w:r>
      <w:r>
        <w:t xml:space="preserve">“ jednotlivě „Smluvní strana“) </w:t>
      </w:r>
    </w:p>
    <w:p w14:paraId="699B56E5" w14:textId="77777777" w:rsidR="001639DC" w:rsidRDefault="001639DC"/>
    <w:p w14:paraId="07618AE7" w14:textId="77777777" w:rsidR="001639DC" w:rsidRDefault="001639DC"/>
    <w:p w14:paraId="441A6F1F" w14:textId="77777777" w:rsidR="001639DC" w:rsidRDefault="001639DC">
      <w:pPr>
        <w:tabs>
          <w:tab w:val="left" w:pos="1701"/>
        </w:tabs>
        <w:spacing w:after="120" w:line="276" w:lineRule="auto"/>
      </w:pPr>
    </w:p>
    <w:p w14:paraId="4525E2BC" w14:textId="77777777" w:rsidR="001639DC" w:rsidRDefault="001639DC">
      <w:pPr>
        <w:tabs>
          <w:tab w:val="left" w:pos="1701"/>
        </w:tabs>
        <w:spacing w:after="120" w:line="276" w:lineRule="auto"/>
      </w:pPr>
    </w:p>
    <w:p w14:paraId="59782468" w14:textId="77777777" w:rsidR="001639DC" w:rsidRDefault="00C83994">
      <w:pPr>
        <w:pBdr>
          <w:top w:val="nil"/>
          <w:left w:val="nil"/>
          <w:bottom w:val="nil"/>
          <w:right w:val="nil"/>
          <w:between w:val="nil"/>
        </w:pBdr>
        <w:spacing w:after="120" w:line="276" w:lineRule="auto"/>
        <w:ind w:left="502" w:hanging="502"/>
        <w:jc w:val="center"/>
        <w:rPr>
          <w:rFonts w:eastAsia="Arial" w:cs="Arial"/>
          <w:b/>
          <w:color w:val="000000"/>
          <w:szCs w:val="20"/>
        </w:rPr>
      </w:pPr>
      <w:r>
        <w:rPr>
          <w:rFonts w:eastAsia="Arial" w:cs="Arial"/>
          <w:b/>
          <w:color w:val="000000"/>
          <w:szCs w:val="20"/>
        </w:rPr>
        <w:t>Článek I. Úvodní ustanovení</w:t>
      </w:r>
    </w:p>
    <w:p w14:paraId="71198903" w14:textId="77777777" w:rsidR="001639DC" w:rsidRDefault="00C83994">
      <w:pPr>
        <w:numPr>
          <w:ilvl w:val="0"/>
          <w:numId w:val="9"/>
        </w:numPr>
        <w:spacing w:after="120" w:line="276" w:lineRule="auto"/>
        <w:ind w:left="284" w:hanging="284"/>
      </w:pPr>
      <w:r>
        <w:t>Tato Smlouva upravuje vztah mezi Objednatelem a Poskytovatelem, který vzešel z výsledku zadávacího řízení na veřejnou zakázku „</w:t>
      </w:r>
      <w:r>
        <w:rPr>
          <w:b/>
        </w:rPr>
        <w:t>Podpora SW licencí pro monitoring</w:t>
      </w:r>
      <w:r>
        <w:t>“ evidovanou VZP ČR pod číslem 2400430 (dále jen „</w:t>
      </w:r>
      <w:r>
        <w:rPr>
          <w:b/>
        </w:rPr>
        <w:t>veřejná zakázka</w:t>
      </w:r>
      <w:r>
        <w:t>“).</w:t>
      </w:r>
    </w:p>
    <w:p w14:paraId="7BAA331E" w14:textId="77777777" w:rsidR="001639DC" w:rsidRDefault="00C83994">
      <w:pPr>
        <w:numPr>
          <w:ilvl w:val="0"/>
          <w:numId w:val="9"/>
        </w:numPr>
        <w:spacing w:after="120" w:line="276" w:lineRule="auto"/>
        <w:ind w:left="284" w:hanging="284"/>
      </w:pPr>
      <w:r>
        <w:t xml:space="preserve">Tato Smlouva </w:t>
      </w:r>
      <w:r>
        <w:rPr>
          <w:color w:val="000000"/>
        </w:rPr>
        <w:t>stanovuje</w:t>
      </w:r>
      <w:r>
        <w:t xml:space="preserve"> základní obsah právního vztahu na poskytování požadovaného předmětu plnění mezi Smluvními stranami. Ustanovení této Smlouvy je třeba vykládat v souladu se zadávacími podmínkami výše uvedené veřejné zakázky. </w:t>
      </w:r>
    </w:p>
    <w:p w14:paraId="4B780FFE" w14:textId="77777777" w:rsidR="001639DC" w:rsidRDefault="00C83994">
      <w:pPr>
        <w:numPr>
          <w:ilvl w:val="0"/>
          <w:numId w:val="9"/>
        </w:numPr>
        <w:spacing w:after="120" w:line="276" w:lineRule="auto"/>
        <w:ind w:left="284" w:hanging="284"/>
      </w:pPr>
      <w:bookmarkStart w:id="2" w:name="_heading=h.1fob9te" w:colFirst="0" w:colLast="0"/>
      <w:bookmarkEnd w:id="2"/>
      <w:r>
        <w:t xml:space="preserve">Poskytovatel výslovně prohlašuje, že se náležitě seznámil se všemi zadávacími podmínkami této veřejné zakázky, že jsou mu známé veškeré technické, kvalitativní a jiné podmínky plnění stanovené </w:t>
      </w:r>
      <w:r>
        <w:lastRenderedPageBreak/>
        <w:t>Objednatelem, že disponuje kapacitami a odbornými znalostmi, které jsou nezbytné k poskytnutí plnění dle této Smlouvy a za ceny sjednané v této Smlouvě a že je způsobilý ke splnění všech svých závazků podle této Smlouvy.</w:t>
      </w:r>
    </w:p>
    <w:p w14:paraId="580A541F" w14:textId="77777777" w:rsidR="001639DC" w:rsidRDefault="00C83994">
      <w:pPr>
        <w:numPr>
          <w:ilvl w:val="0"/>
          <w:numId w:val="9"/>
        </w:numPr>
        <w:spacing w:after="120" w:line="276" w:lineRule="auto"/>
        <w:ind w:left="284" w:hanging="284"/>
      </w:pPr>
      <w:r>
        <w:t>Poskytovatel prohlašuje, že je oprávněn a schopen po stránce technické i právní poskytovat Objednateli plnění dle této Smlouvy.</w:t>
      </w:r>
    </w:p>
    <w:p w14:paraId="1F4A02BA" w14:textId="77777777" w:rsidR="001639DC" w:rsidRDefault="00C83994">
      <w:pPr>
        <w:numPr>
          <w:ilvl w:val="0"/>
          <w:numId w:val="9"/>
        </w:numPr>
        <w:spacing w:after="120" w:line="276" w:lineRule="auto"/>
        <w:ind w:left="284" w:hanging="284"/>
      </w:pPr>
      <w:r>
        <w:t>Poskytovatel prohlašuje, že jím poskytované plnění podle této Smlouvy bude odpovídat všem požadavkům vyplývajícím z platných právních předpisů, které se na předmětné plnění vztahují a že je schopen také tak všechna plnění podle této Smlouvy poskytovat.</w:t>
      </w:r>
    </w:p>
    <w:p w14:paraId="75576EC3" w14:textId="77777777" w:rsidR="001639DC" w:rsidRDefault="001639DC">
      <w:pPr>
        <w:spacing w:after="120" w:line="276" w:lineRule="auto"/>
      </w:pPr>
    </w:p>
    <w:p w14:paraId="36411CD6" w14:textId="77777777" w:rsidR="001639DC" w:rsidRDefault="00C83994">
      <w:pPr>
        <w:spacing w:after="120" w:line="276" w:lineRule="auto"/>
        <w:jc w:val="center"/>
        <w:rPr>
          <w:b/>
        </w:rPr>
      </w:pPr>
      <w:r>
        <w:rPr>
          <w:b/>
        </w:rPr>
        <w:t>Článek II. Účel a předmět Smlouvy</w:t>
      </w:r>
    </w:p>
    <w:p w14:paraId="7AFC0A17" w14:textId="77777777" w:rsidR="001639DC" w:rsidRDefault="00C83994">
      <w:pPr>
        <w:numPr>
          <w:ilvl w:val="0"/>
          <w:numId w:val="8"/>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Objednatel je oprávněným uživatelem softwarových produktů uvedených v Příloze č. 1 této Smlouvy – Seznam SW produktů (dále jen „</w:t>
      </w:r>
      <w:r>
        <w:rPr>
          <w:rFonts w:eastAsia="Arial" w:cs="Arial"/>
          <w:b/>
          <w:color w:val="000000"/>
          <w:szCs w:val="20"/>
        </w:rPr>
        <w:t>Příloha č. 1</w:t>
      </w:r>
      <w:r>
        <w:rPr>
          <w:rFonts w:eastAsia="Arial" w:cs="Arial"/>
          <w:color w:val="000000"/>
          <w:szCs w:val="20"/>
        </w:rPr>
        <w:t>“) pro Centrální monitoring Objednatele na základě Rámcové dohody č. 2100150/4600002329 uzavřené dne 5. 10. 2021 se společností ELSO PHILIPS SERVICE, spol. s r.o, kterou je též zajištěno poskytování technické podpory pro předmětný software do 31.10. 2024.</w:t>
      </w:r>
    </w:p>
    <w:p w14:paraId="321C1815" w14:textId="77777777" w:rsidR="001639DC" w:rsidRDefault="00C83994">
      <w:pPr>
        <w:numPr>
          <w:ilvl w:val="0"/>
          <w:numId w:val="8"/>
        </w:numPr>
        <w:pBdr>
          <w:top w:val="nil"/>
          <w:left w:val="nil"/>
          <w:bottom w:val="nil"/>
          <w:right w:val="nil"/>
          <w:between w:val="nil"/>
        </w:pBdr>
        <w:spacing w:after="120" w:line="276" w:lineRule="auto"/>
        <w:rPr>
          <w:rFonts w:eastAsia="Arial" w:cs="Arial"/>
          <w:color w:val="000000"/>
          <w:szCs w:val="20"/>
        </w:rPr>
      </w:pPr>
      <w:bookmarkStart w:id="3" w:name="_heading=h.3znysh7" w:colFirst="0" w:colLast="0"/>
      <w:bookmarkEnd w:id="3"/>
      <w:r>
        <w:rPr>
          <w:rFonts w:eastAsia="Arial" w:cs="Arial"/>
          <w:color w:val="000000"/>
          <w:szCs w:val="20"/>
        </w:rPr>
        <w:t xml:space="preserve">Účelem této Smlouvy je zajištění spolehlivého a bezproblémového provozu monitorovacích nástrojů pro Centrální monitoring Objednatele poskytováním / zajištěním poskytování návazné podpory softwarových produktů uvedených v Příloze č. 1 v Objednatelem požadovaném licenčním rozsahu. </w:t>
      </w:r>
    </w:p>
    <w:p w14:paraId="7AD49DB0" w14:textId="77777777" w:rsidR="001639DC" w:rsidRDefault="00C83994">
      <w:pPr>
        <w:numPr>
          <w:ilvl w:val="0"/>
          <w:numId w:val="8"/>
        </w:numPr>
        <w:pBdr>
          <w:top w:val="nil"/>
          <w:left w:val="nil"/>
          <w:bottom w:val="nil"/>
          <w:right w:val="nil"/>
          <w:between w:val="nil"/>
        </w:pBdr>
        <w:spacing w:after="120" w:line="276" w:lineRule="auto"/>
        <w:ind w:left="357" w:hanging="357"/>
        <w:rPr>
          <w:rFonts w:eastAsia="Arial" w:cs="Arial"/>
          <w:color w:val="000000"/>
          <w:szCs w:val="20"/>
        </w:rPr>
      </w:pPr>
      <w:r>
        <w:rPr>
          <w:rFonts w:eastAsia="Arial" w:cs="Arial"/>
          <w:color w:val="000000"/>
          <w:szCs w:val="20"/>
        </w:rPr>
        <w:t>Předmětem této Smlouvy je:</w:t>
      </w:r>
    </w:p>
    <w:p w14:paraId="49B274C1" w14:textId="77777777" w:rsidR="001639DC" w:rsidRDefault="00C83994">
      <w:pPr>
        <w:numPr>
          <w:ilvl w:val="1"/>
          <w:numId w:val="3"/>
        </w:numPr>
        <w:pBdr>
          <w:top w:val="nil"/>
          <w:left w:val="nil"/>
          <w:bottom w:val="nil"/>
          <w:right w:val="nil"/>
          <w:between w:val="nil"/>
        </w:pBdr>
        <w:spacing w:after="120" w:line="276" w:lineRule="auto"/>
        <w:ind w:left="850" w:hanging="425"/>
        <w:rPr>
          <w:rFonts w:eastAsia="Arial" w:cs="Arial"/>
          <w:color w:val="000000"/>
          <w:szCs w:val="20"/>
        </w:rPr>
      </w:pPr>
      <w:r>
        <w:rPr>
          <w:rFonts w:eastAsia="Arial" w:cs="Arial"/>
          <w:color w:val="000000"/>
          <w:szCs w:val="20"/>
        </w:rPr>
        <w:t>na straně jedné závazek Poskytovatele poskytovat pro Objednatele plnění podle této Smlouvy,</w:t>
      </w:r>
    </w:p>
    <w:p w14:paraId="5E35E7DA" w14:textId="77777777" w:rsidR="001639DC" w:rsidRDefault="00C83994">
      <w:pPr>
        <w:numPr>
          <w:ilvl w:val="1"/>
          <w:numId w:val="3"/>
        </w:numPr>
        <w:pBdr>
          <w:top w:val="nil"/>
          <w:left w:val="nil"/>
          <w:bottom w:val="nil"/>
          <w:right w:val="nil"/>
          <w:between w:val="nil"/>
        </w:pBdr>
        <w:spacing w:after="120" w:line="276" w:lineRule="auto"/>
        <w:ind w:left="851" w:hanging="425"/>
        <w:rPr>
          <w:rFonts w:eastAsia="Arial" w:cs="Arial"/>
          <w:color w:val="000000"/>
          <w:szCs w:val="20"/>
        </w:rPr>
      </w:pPr>
      <w:r>
        <w:rPr>
          <w:rFonts w:eastAsia="Arial" w:cs="Arial"/>
          <w:color w:val="000000"/>
          <w:szCs w:val="20"/>
        </w:rPr>
        <w:t>na straně druhé závazek Objednatele zaplatit Poskytovateli za řádně poskytnutá plnění dle této Smlouvy cenu ve výši a způsobem stanoveném touto Smlouvou nebo podle této Smlouvy,</w:t>
      </w:r>
    </w:p>
    <w:p w14:paraId="550C8AEF" w14:textId="77777777" w:rsidR="001639DC" w:rsidRDefault="00C83994">
      <w:pPr>
        <w:spacing w:after="120" w:line="276" w:lineRule="auto"/>
        <w:ind w:firstLine="426"/>
      </w:pPr>
      <w:r>
        <w:t>to vše za podmínek stanovených dále v této Smlouvě.</w:t>
      </w:r>
    </w:p>
    <w:p w14:paraId="5D3ACC83" w14:textId="77777777" w:rsidR="001639DC" w:rsidRDefault="001639DC">
      <w:pPr>
        <w:spacing w:after="120" w:line="276" w:lineRule="auto"/>
        <w:rPr>
          <w:b/>
        </w:rPr>
      </w:pPr>
    </w:p>
    <w:p w14:paraId="33C4A7B0" w14:textId="77777777" w:rsidR="001639DC" w:rsidRDefault="00C83994">
      <w:pPr>
        <w:spacing w:after="120" w:line="276" w:lineRule="auto"/>
        <w:jc w:val="center"/>
        <w:rPr>
          <w:b/>
        </w:rPr>
      </w:pPr>
      <w:bookmarkStart w:id="4" w:name="_heading=h.2et92p0" w:colFirst="0" w:colLast="0"/>
      <w:bookmarkEnd w:id="4"/>
      <w:r>
        <w:rPr>
          <w:b/>
        </w:rPr>
        <w:t>Článek III. Předmět plnění</w:t>
      </w:r>
    </w:p>
    <w:p w14:paraId="1A61EC92" w14:textId="77777777" w:rsidR="001639DC" w:rsidRDefault="00C83994">
      <w:pPr>
        <w:numPr>
          <w:ilvl w:val="0"/>
          <w:numId w:val="10"/>
        </w:numPr>
        <w:pBdr>
          <w:top w:val="nil"/>
          <w:left w:val="nil"/>
          <w:bottom w:val="nil"/>
          <w:right w:val="nil"/>
          <w:between w:val="nil"/>
        </w:pBdr>
        <w:spacing w:after="120" w:line="276" w:lineRule="auto"/>
        <w:rPr>
          <w:rFonts w:eastAsia="Arial" w:cs="Arial"/>
          <w:color w:val="000000"/>
          <w:szCs w:val="20"/>
        </w:rPr>
      </w:pPr>
      <w:bookmarkStart w:id="5" w:name="_heading=h.tyjcwt" w:colFirst="0" w:colLast="0"/>
      <w:bookmarkEnd w:id="5"/>
      <w:r>
        <w:rPr>
          <w:rFonts w:eastAsia="Arial" w:cs="Arial"/>
          <w:color w:val="000000"/>
          <w:szCs w:val="20"/>
        </w:rPr>
        <w:t>Poskytovatel se zavazuje poskytovat / zajistit poskytování (dále jen „</w:t>
      </w:r>
      <w:r>
        <w:rPr>
          <w:rFonts w:eastAsia="Arial" w:cs="Arial"/>
          <w:b/>
          <w:color w:val="000000"/>
          <w:szCs w:val="20"/>
        </w:rPr>
        <w:t>poskytovat</w:t>
      </w:r>
      <w:r>
        <w:rPr>
          <w:rFonts w:eastAsia="Arial" w:cs="Arial"/>
          <w:color w:val="000000"/>
          <w:szCs w:val="20"/>
        </w:rPr>
        <w:t>“) technickou podporu softwarových produktů pro Centrální monitoring uvedených v Příloze č. 1 spolu s uvedením požadovaného licenčního rozsahu (dále též jen „SW“), která zahrnuje:</w:t>
      </w:r>
    </w:p>
    <w:p w14:paraId="39BD6A84" w14:textId="77777777" w:rsidR="001639DC" w:rsidRDefault="00C83994">
      <w:pPr>
        <w:numPr>
          <w:ilvl w:val="1"/>
          <w:numId w:val="10"/>
        </w:numPr>
        <w:pBdr>
          <w:top w:val="nil"/>
          <w:left w:val="nil"/>
          <w:bottom w:val="nil"/>
          <w:right w:val="nil"/>
          <w:between w:val="nil"/>
        </w:pBdr>
        <w:spacing w:after="120" w:line="276" w:lineRule="auto"/>
        <w:rPr>
          <w:rFonts w:eastAsia="Arial" w:cs="Arial"/>
          <w:color w:val="000000"/>
          <w:szCs w:val="20"/>
        </w:rPr>
      </w:pPr>
      <w:r>
        <w:rPr>
          <w:rFonts w:eastAsia="Arial" w:cs="Arial"/>
          <w:b/>
          <w:color w:val="000000"/>
          <w:szCs w:val="20"/>
        </w:rPr>
        <w:t>umožnění přístupu Objednatele na portál výrobce SW k nejnovějším verzím SW, včetně opravných patches</w:t>
      </w:r>
      <w:r>
        <w:rPr>
          <w:rFonts w:eastAsia="Arial" w:cs="Arial"/>
          <w:color w:val="000000"/>
          <w:szCs w:val="20"/>
        </w:rPr>
        <w:t xml:space="preserve"> (dále vše též jen „</w:t>
      </w:r>
      <w:r>
        <w:rPr>
          <w:rFonts w:eastAsia="Arial" w:cs="Arial"/>
          <w:b/>
          <w:color w:val="000000"/>
          <w:szCs w:val="20"/>
        </w:rPr>
        <w:t>upgrade/update</w:t>
      </w:r>
      <w:r>
        <w:rPr>
          <w:rFonts w:eastAsia="Arial" w:cs="Arial"/>
          <w:color w:val="000000"/>
          <w:szCs w:val="20"/>
        </w:rPr>
        <w:t xml:space="preserve">“), využití znalostní databáze výrobce a globálního support portálu pro zakládání supportních ticketů u výrobce. Poskytovatel bude Objednatele v rámci součinnosti o upgrade/update neprodleně po jejich vydání informovat notifikačním e-mailem tak, aby Objednatel mohl příslušnou aktuální verzi včas užít. Výrobcem SW je OpenText Corporation </w:t>
      </w:r>
      <w:r>
        <w:rPr>
          <w:rFonts w:eastAsia="Arial" w:cs="Arial"/>
          <w:color w:val="000000"/>
          <w:sz w:val="21"/>
          <w:szCs w:val="21"/>
          <w:highlight w:val="white"/>
        </w:rPr>
        <w:t>se sídlem ve Waterloo, Ontario, Kanada</w:t>
      </w:r>
      <w:r>
        <w:rPr>
          <w:rFonts w:eastAsia="Arial" w:cs="Arial"/>
          <w:color w:val="000000"/>
          <w:szCs w:val="20"/>
        </w:rPr>
        <w:t xml:space="preserve"> (výše a dále v této Smlouvě jen „</w:t>
      </w:r>
      <w:r>
        <w:rPr>
          <w:rFonts w:eastAsia="Arial" w:cs="Arial"/>
          <w:b/>
          <w:color w:val="000000"/>
          <w:szCs w:val="20"/>
        </w:rPr>
        <w:t>výrobce</w:t>
      </w:r>
      <w:r>
        <w:rPr>
          <w:rFonts w:eastAsia="Arial" w:cs="Arial"/>
          <w:color w:val="000000"/>
          <w:szCs w:val="20"/>
        </w:rPr>
        <w:t>“),</w:t>
      </w:r>
    </w:p>
    <w:p w14:paraId="32AC1CC0" w14:textId="77777777" w:rsidR="001639DC" w:rsidRDefault="00C83994">
      <w:pPr>
        <w:numPr>
          <w:ilvl w:val="1"/>
          <w:numId w:val="10"/>
        </w:numPr>
        <w:pBdr>
          <w:top w:val="nil"/>
          <w:left w:val="nil"/>
          <w:bottom w:val="nil"/>
          <w:right w:val="nil"/>
          <w:between w:val="nil"/>
        </w:pBdr>
        <w:rPr>
          <w:rFonts w:eastAsia="Arial" w:cs="Arial"/>
          <w:color w:val="000000"/>
          <w:szCs w:val="20"/>
        </w:rPr>
      </w:pPr>
      <w:r>
        <w:rPr>
          <w:rFonts w:eastAsia="Arial" w:cs="Arial"/>
          <w:color w:val="000000"/>
          <w:szCs w:val="20"/>
        </w:rPr>
        <w:t xml:space="preserve">poskytování další podpory výrobce dle licenčních podmínek výrobce, které tvoří Přílohu č. 3 této Smlouvy v aktuální verzi ke dni uzavření Smlouvy (dále jen </w:t>
      </w:r>
      <w:r>
        <w:rPr>
          <w:rFonts w:eastAsia="Arial" w:cs="Arial"/>
          <w:b/>
          <w:color w:val="000000"/>
          <w:szCs w:val="20"/>
        </w:rPr>
        <w:t>„Příloha č. 3</w:t>
      </w:r>
      <w:r>
        <w:rPr>
          <w:rFonts w:eastAsia="Arial" w:cs="Arial"/>
          <w:color w:val="000000"/>
          <w:szCs w:val="20"/>
        </w:rPr>
        <w:t>“). Smluvní strany se dohodly, že přiložené licenční podmínky mohou být i v anglickém jazyce.</w:t>
      </w:r>
    </w:p>
    <w:p w14:paraId="0FD7C094" w14:textId="77777777" w:rsidR="001639DC" w:rsidRDefault="001639DC"/>
    <w:p w14:paraId="6303A489" w14:textId="77777777" w:rsidR="001639DC" w:rsidRDefault="00C83994">
      <w:pPr>
        <w:pBdr>
          <w:top w:val="nil"/>
          <w:left w:val="nil"/>
          <w:bottom w:val="nil"/>
          <w:right w:val="nil"/>
          <w:between w:val="nil"/>
        </w:pBdr>
        <w:spacing w:after="120" w:line="276" w:lineRule="auto"/>
        <w:ind w:left="360"/>
        <w:rPr>
          <w:rFonts w:eastAsia="Arial" w:cs="Arial"/>
          <w:color w:val="000000"/>
          <w:szCs w:val="20"/>
        </w:rPr>
      </w:pPr>
      <w:r>
        <w:rPr>
          <w:rFonts w:eastAsia="Arial" w:cs="Arial"/>
          <w:color w:val="000000"/>
          <w:szCs w:val="20"/>
        </w:rPr>
        <w:t>(dále vše jen „</w:t>
      </w:r>
      <w:r>
        <w:rPr>
          <w:rFonts w:eastAsia="Arial" w:cs="Arial"/>
          <w:b/>
          <w:color w:val="000000"/>
          <w:szCs w:val="20"/>
        </w:rPr>
        <w:t>Podpora</w:t>
      </w:r>
      <w:r>
        <w:rPr>
          <w:rFonts w:eastAsia="Arial" w:cs="Arial"/>
          <w:color w:val="000000"/>
          <w:szCs w:val="20"/>
        </w:rPr>
        <w:t>“).</w:t>
      </w:r>
    </w:p>
    <w:p w14:paraId="1DCC1382" w14:textId="77777777" w:rsidR="001639DC" w:rsidRDefault="00C83994">
      <w:pPr>
        <w:numPr>
          <w:ilvl w:val="0"/>
          <w:numId w:val="10"/>
        </w:numPr>
        <w:pBdr>
          <w:top w:val="nil"/>
          <w:left w:val="nil"/>
          <w:bottom w:val="nil"/>
          <w:right w:val="nil"/>
          <w:between w:val="nil"/>
        </w:pBdr>
        <w:spacing w:after="120" w:line="276" w:lineRule="auto"/>
        <w:ind w:left="357" w:hanging="357"/>
        <w:rPr>
          <w:rFonts w:eastAsia="Arial" w:cs="Arial"/>
          <w:color w:val="000000"/>
          <w:szCs w:val="20"/>
        </w:rPr>
      </w:pPr>
      <w:r>
        <w:rPr>
          <w:rFonts w:eastAsia="Arial" w:cs="Arial"/>
          <w:color w:val="000000"/>
          <w:szCs w:val="20"/>
        </w:rPr>
        <w:t>Podpora podle této Smlouvy bude poskytována SW a jeho</w:t>
      </w:r>
      <w:r>
        <w:rPr>
          <w:rFonts w:eastAsia="Arial" w:cs="Arial"/>
          <w:b/>
          <w:color w:val="000000"/>
          <w:szCs w:val="20"/>
        </w:rPr>
        <w:t xml:space="preserve"> </w:t>
      </w:r>
      <w:r>
        <w:rPr>
          <w:rFonts w:eastAsia="Arial" w:cs="Arial"/>
          <w:color w:val="000000"/>
          <w:szCs w:val="20"/>
        </w:rPr>
        <w:t>upgrades/updates poskytnutým v rámci Podpory dle této Smlouvy.</w:t>
      </w:r>
    </w:p>
    <w:p w14:paraId="39151FBE" w14:textId="77777777" w:rsidR="001639DC" w:rsidRDefault="00C83994">
      <w:pPr>
        <w:numPr>
          <w:ilvl w:val="0"/>
          <w:numId w:val="10"/>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 xml:space="preserve">Komunikace v rámci poskytování Podpory SW bude realizována způsobem uvedeným v čl. IV. této Smlouvy. </w:t>
      </w:r>
    </w:p>
    <w:p w14:paraId="7A6F9ABB" w14:textId="77777777" w:rsidR="001639DC" w:rsidRDefault="00C83994">
      <w:pPr>
        <w:numPr>
          <w:ilvl w:val="0"/>
          <w:numId w:val="10"/>
        </w:numPr>
        <w:spacing w:before="120" w:after="120" w:line="276" w:lineRule="auto"/>
      </w:pPr>
      <w:r>
        <w:t xml:space="preserve">Touto Smlouvou je zároveň Objednateli poskytována licence (tj. oprávnění k užití) všech nových verzí (update, upgrade apod.) SW, které Objednatel získá na základě této Smlouvy v rámci </w:t>
      </w:r>
      <w:r>
        <w:lastRenderedPageBreak/>
        <w:t>poskytování Podpory, a to v licenčním rozsahu</w:t>
      </w:r>
      <w:r>
        <w:rPr>
          <w:b/>
        </w:rPr>
        <w:t xml:space="preserve"> </w:t>
      </w:r>
      <w:r>
        <w:t xml:space="preserve">dle Přílohy č. 1 této Smlouvy. Licence je poskytována jako nevýhradní, nepřevoditelná, na dobu trvání majetkových autorských práv k SW a ke způsobu užití v rámci věcných i teritoriálních potřeb Objednatele. V ostatním se užití SW řídí licenčními podmínkami výrobce SW. </w:t>
      </w:r>
    </w:p>
    <w:p w14:paraId="268FE88D" w14:textId="77777777" w:rsidR="001639DC" w:rsidRDefault="00C83994">
      <w:pPr>
        <w:numPr>
          <w:ilvl w:val="0"/>
          <w:numId w:val="10"/>
        </w:numPr>
        <w:spacing w:before="120" w:after="240"/>
        <w:rPr>
          <w:b/>
        </w:rPr>
      </w:pPr>
      <w:r>
        <w:t xml:space="preserve">Smluvní strany se dohodly, že pro účely licenčního ujednání dle odst. 4. tohoto článku se nepoužije ustanovení § 2370 občanského zákoníku. </w:t>
      </w:r>
    </w:p>
    <w:p w14:paraId="79D9435C" w14:textId="77777777" w:rsidR="001639DC" w:rsidRDefault="001639DC">
      <w:pPr>
        <w:pBdr>
          <w:top w:val="nil"/>
          <w:left w:val="nil"/>
          <w:bottom w:val="nil"/>
          <w:right w:val="nil"/>
          <w:between w:val="nil"/>
        </w:pBdr>
        <w:spacing w:after="120" w:line="276" w:lineRule="auto"/>
        <w:ind w:left="357"/>
        <w:rPr>
          <w:rFonts w:eastAsia="Arial" w:cs="Arial"/>
          <w:b/>
          <w:color w:val="000000"/>
          <w:szCs w:val="20"/>
        </w:rPr>
      </w:pPr>
    </w:p>
    <w:p w14:paraId="1EFA0DF8" w14:textId="77777777" w:rsidR="001639DC" w:rsidRDefault="00C83994">
      <w:pPr>
        <w:spacing w:after="120" w:line="276" w:lineRule="auto"/>
        <w:jc w:val="center"/>
        <w:rPr>
          <w:b/>
        </w:rPr>
      </w:pPr>
      <w:r>
        <w:rPr>
          <w:b/>
        </w:rPr>
        <w:t>Článek IV. Doba, způsob a místo plnění</w:t>
      </w:r>
    </w:p>
    <w:p w14:paraId="79F6AC25" w14:textId="77777777" w:rsidR="001639DC" w:rsidRDefault="00C83994">
      <w:pPr>
        <w:numPr>
          <w:ilvl w:val="0"/>
          <w:numId w:val="7"/>
        </w:numPr>
        <w:pBdr>
          <w:top w:val="nil"/>
          <w:left w:val="nil"/>
          <w:bottom w:val="nil"/>
          <w:right w:val="nil"/>
          <w:between w:val="nil"/>
        </w:pBdr>
        <w:spacing w:after="120" w:line="276" w:lineRule="auto"/>
        <w:ind w:hanging="360"/>
      </w:pPr>
      <w:r>
        <w:t>Poskytovatel se zavazuje poskytovat Objednateli Podporu dle této Smlouvy od 1. dne kalendářního měsíce následujícího po nabytí účinnosti této Smlouvy po dobu 36 kalendářních měsíců.</w:t>
      </w:r>
    </w:p>
    <w:p w14:paraId="07370B78" w14:textId="77777777" w:rsidR="001639DC" w:rsidRDefault="00C83994">
      <w:pPr>
        <w:numPr>
          <w:ilvl w:val="0"/>
          <w:numId w:val="7"/>
        </w:numPr>
        <w:pBdr>
          <w:top w:val="nil"/>
          <w:left w:val="nil"/>
          <w:bottom w:val="nil"/>
          <w:right w:val="nil"/>
          <w:between w:val="nil"/>
        </w:pBdr>
        <w:spacing w:after="120" w:line="276" w:lineRule="auto"/>
        <w:ind w:hanging="360"/>
      </w:pPr>
      <w:r>
        <w:t>Podpora bude Poskytovatelem poskytována průběžně, řádně a včas, a to za podmínek stanovených touto Smlouvou nebo podle této Smlouvy.</w:t>
      </w:r>
    </w:p>
    <w:p w14:paraId="65BFB02A" w14:textId="77777777" w:rsidR="001639DC" w:rsidRDefault="00C83994">
      <w:pPr>
        <w:numPr>
          <w:ilvl w:val="0"/>
          <w:numId w:val="7"/>
        </w:numPr>
        <w:pBdr>
          <w:top w:val="nil"/>
          <w:left w:val="nil"/>
          <w:bottom w:val="nil"/>
          <w:right w:val="nil"/>
          <w:between w:val="nil"/>
        </w:pBdr>
        <w:spacing w:after="120" w:line="276" w:lineRule="auto"/>
        <w:ind w:hanging="360"/>
      </w:pPr>
      <w:r>
        <w:t>Komunikace mezi Objednatelem a Poskytovatelem ve věci plnění Smlouvy bude probíhat elektronicky formou e-mailové komunikace, příp telefonním kontaktem mezi pověřenými osobami Smluvních stran, uvedenými v čl. XIV. odst. 4. této Smlouvy (dále jen „Pověřené osoby“). Komunikace mezi Pověřenými osobami bude probíhat v českém nebo slovenském jazyce. Komunikace mezi Objednatelem a výrobcem SW bude probíhat přes Global support portál výrobce SW.</w:t>
      </w:r>
    </w:p>
    <w:p w14:paraId="05D63698" w14:textId="77777777" w:rsidR="001639DC" w:rsidRDefault="00C83994">
      <w:pPr>
        <w:numPr>
          <w:ilvl w:val="0"/>
          <w:numId w:val="7"/>
        </w:numPr>
        <w:pBdr>
          <w:top w:val="nil"/>
          <w:left w:val="nil"/>
          <w:bottom w:val="nil"/>
          <w:right w:val="nil"/>
          <w:between w:val="nil"/>
        </w:pBdr>
        <w:spacing w:after="120" w:line="276" w:lineRule="auto"/>
        <w:ind w:hanging="360"/>
      </w:pPr>
      <w:r>
        <w:t xml:space="preserve">Místem plnění je sídlo Objednatele, tj. Orlická 2020/4, 130 00 Praha 3. </w:t>
      </w:r>
    </w:p>
    <w:p w14:paraId="05F917F3" w14:textId="77777777" w:rsidR="001639DC" w:rsidRDefault="001639DC">
      <w:pPr>
        <w:widowControl w:val="0"/>
        <w:tabs>
          <w:tab w:val="left" w:pos="708"/>
        </w:tabs>
        <w:spacing w:after="120" w:line="276" w:lineRule="auto"/>
      </w:pPr>
    </w:p>
    <w:p w14:paraId="401877A1" w14:textId="77777777" w:rsidR="001639DC" w:rsidRDefault="00C83994">
      <w:pPr>
        <w:spacing w:after="120" w:line="276" w:lineRule="auto"/>
        <w:jc w:val="center"/>
        <w:rPr>
          <w:b/>
        </w:rPr>
      </w:pPr>
      <w:r>
        <w:rPr>
          <w:b/>
        </w:rPr>
        <w:t xml:space="preserve">Článek V. Cena plnění </w:t>
      </w:r>
    </w:p>
    <w:p w14:paraId="05B237BB" w14:textId="77777777" w:rsidR="001639DC" w:rsidRDefault="00C83994">
      <w:pPr>
        <w:numPr>
          <w:ilvl w:val="0"/>
          <w:numId w:val="1"/>
        </w:numPr>
        <w:spacing w:after="120" w:line="276" w:lineRule="auto"/>
        <w:ind w:left="284" w:hanging="284"/>
      </w:pPr>
      <w:bookmarkStart w:id="6" w:name="_heading=h.3dy6vkm" w:colFirst="0" w:colLast="0"/>
      <w:bookmarkEnd w:id="6"/>
      <w:r>
        <w:t>Objednatel se zavazuje zaplatit Poskytovateli za řádné plnění dle této Smlouvy cenu ve výši a způsobem dohodnutým v této Smlouvě.</w:t>
      </w:r>
    </w:p>
    <w:p w14:paraId="2110A50D" w14:textId="77777777" w:rsidR="001639DC" w:rsidRDefault="00C83994">
      <w:pPr>
        <w:numPr>
          <w:ilvl w:val="0"/>
          <w:numId w:val="1"/>
        </w:numPr>
        <w:spacing w:after="120" w:line="276" w:lineRule="auto"/>
        <w:ind w:left="284" w:hanging="284"/>
      </w:pPr>
      <w:bookmarkStart w:id="7" w:name="_heading=h.1t3h5sf" w:colFirst="0" w:colLast="0"/>
      <w:bookmarkEnd w:id="7"/>
      <w:r>
        <w:t>Cena plnění je stanovena dohodou Smluvních stran v souladu se zákonem č. 526/1990 Sb. o cenách, ve znění pozdějších předpisů, a to na základě předložené cenové nabídky Poskytovatele v rámci předmětné veřejné zakázky. Specifikace ceny plnění tvoří Přílohu č. 2 této Smlouvy (dále jen „</w:t>
      </w:r>
      <w:r>
        <w:rPr>
          <w:b/>
        </w:rPr>
        <w:t>Příloha č. 2“</w:t>
      </w:r>
      <w:r>
        <w:t>).</w:t>
      </w:r>
    </w:p>
    <w:p w14:paraId="1698AC55" w14:textId="77777777" w:rsidR="001639DC" w:rsidRDefault="00C83994">
      <w:pPr>
        <w:numPr>
          <w:ilvl w:val="0"/>
          <w:numId w:val="1"/>
        </w:numPr>
        <w:spacing w:after="120" w:line="276" w:lineRule="auto"/>
        <w:ind w:left="284" w:hanging="284"/>
      </w:pPr>
      <w:bookmarkStart w:id="8" w:name="_heading=h.4d34og8" w:colFirst="0" w:colLast="0"/>
      <w:bookmarkEnd w:id="8"/>
      <w:r>
        <w:t>Celková cena za poskytování Podpory dle Smlouvy, tj. za období 36 kalendářních měsíců činí:</w:t>
      </w:r>
      <w:r w:rsidR="001610D9">
        <w:t xml:space="preserve"> </w:t>
      </w:r>
      <w:r w:rsidR="001610D9">
        <w:rPr>
          <w:rFonts w:cs="Arial"/>
          <w:szCs w:val="20"/>
        </w:rPr>
        <w:t>10 603 848</w:t>
      </w:r>
      <w:r>
        <w:t xml:space="preserve"> Kč (slovy</w:t>
      </w:r>
      <w:r w:rsidR="001610D9">
        <w:t xml:space="preserve">: </w:t>
      </w:r>
      <w:r w:rsidR="001610D9">
        <w:rPr>
          <w:rFonts w:cs="Arial"/>
          <w:szCs w:val="20"/>
        </w:rPr>
        <w:t>deset milionů šest set tři tisíc osm set čtyřicet osm</w:t>
      </w:r>
      <w:r w:rsidR="001610D9" w:rsidDel="00E24B33">
        <w:rPr>
          <w:rFonts w:cs="Arial"/>
          <w:szCs w:val="20"/>
        </w:rPr>
        <w:t xml:space="preserve"> </w:t>
      </w:r>
      <w:r>
        <w:t>korun českých) bez DPH.</w:t>
      </w:r>
    </w:p>
    <w:p w14:paraId="7A17ECBA" w14:textId="77777777" w:rsidR="001639DC" w:rsidRDefault="00C83994">
      <w:pPr>
        <w:numPr>
          <w:ilvl w:val="0"/>
          <w:numId w:val="1"/>
        </w:numPr>
        <w:spacing w:after="120" w:line="276" w:lineRule="auto"/>
        <w:ind w:left="284" w:hanging="284"/>
      </w:pPr>
      <w:bookmarkStart w:id="9" w:name="_heading=h.2s8eyo1" w:colFirst="0" w:colLast="0"/>
      <w:bookmarkEnd w:id="9"/>
      <w:r>
        <w:t xml:space="preserve">Cena za plnění (bez DPH) uvedená v odst. 3. tohoto článku je konečná a nepřekročitelná a je platná po celou dobu trvání této Smlouvy. Tato cena zahrnuje i veškeré další náklady Poskytovatele spojené s poskytováním plnění dle této Smlouvy, a to včetně poskytování služeb dle čl. III. odst. 1. písm. b), které nejsou ve Smlouvě výslovně uvedeny, ale Poskytovatel jakožto odborník o nich ví nebo má vědět, že jsou nezbytné pro řádné poskytnutí plnění. </w:t>
      </w:r>
    </w:p>
    <w:p w14:paraId="02E19016" w14:textId="77777777" w:rsidR="001639DC" w:rsidRDefault="00C83994">
      <w:pPr>
        <w:numPr>
          <w:ilvl w:val="0"/>
          <w:numId w:val="1"/>
        </w:numPr>
        <w:spacing w:after="120" w:line="276" w:lineRule="auto"/>
        <w:ind w:left="284" w:hanging="284"/>
      </w:pPr>
      <w:bookmarkStart w:id="10" w:name="_heading=h.17dp8vu" w:colFirst="0" w:colLast="0"/>
      <w:bookmarkEnd w:id="10"/>
      <w:r>
        <w:t>Bude-li ke dni uskutečnění zdanitelného plnění Poskytovatel plátcem DPH, bude k ceně bez DPH uvedené v tomto článku účtována Poskytovatelem daň z přidané hodnoty ve výši dle sazby stanovené příslušnými právními předpisy platnými a účinnými ke dni uskutečnění zdanitelného plnění. Za správnost stanovení sazby DPH a vyčíslení výše DPH odpovídá Poskytovatel.</w:t>
      </w:r>
    </w:p>
    <w:p w14:paraId="226160DA" w14:textId="77777777" w:rsidR="001639DC" w:rsidRDefault="00C83994">
      <w:pPr>
        <w:numPr>
          <w:ilvl w:val="0"/>
          <w:numId w:val="1"/>
        </w:numPr>
        <w:spacing w:after="120" w:line="276" w:lineRule="auto"/>
        <w:ind w:left="284" w:hanging="284"/>
      </w:pPr>
      <w:bookmarkStart w:id="11" w:name="_heading=h.3rdcrjn" w:colFirst="0" w:colLast="0"/>
      <w:bookmarkEnd w:id="11"/>
      <w:r>
        <w:t>Poskytovatel, který ke dni uskutečnění zdanitelného plnění nebude plátcem DPH, bude Objednateli účtovat cenu uvedenou v tomto článku jako cenu konečnou.</w:t>
      </w:r>
    </w:p>
    <w:p w14:paraId="0CCD6245" w14:textId="77777777" w:rsidR="001639DC" w:rsidRDefault="001639DC">
      <w:pPr>
        <w:spacing w:after="120" w:line="276" w:lineRule="auto"/>
        <w:ind w:left="284"/>
      </w:pPr>
    </w:p>
    <w:p w14:paraId="3E3F97BB" w14:textId="77777777" w:rsidR="001639DC" w:rsidRDefault="001639DC">
      <w:pPr>
        <w:spacing w:after="120" w:line="276" w:lineRule="auto"/>
        <w:ind w:left="284"/>
      </w:pPr>
    </w:p>
    <w:p w14:paraId="28ACB049" w14:textId="77777777" w:rsidR="001639DC" w:rsidRDefault="00C83994">
      <w:pPr>
        <w:spacing w:after="120" w:line="276" w:lineRule="auto"/>
        <w:jc w:val="center"/>
        <w:rPr>
          <w:b/>
        </w:rPr>
      </w:pPr>
      <w:bookmarkStart w:id="12" w:name="_heading=h.26in1rg" w:colFirst="0" w:colLast="0"/>
      <w:bookmarkEnd w:id="12"/>
      <w:r>
        <w:rPr>
          <w:b/>
        </w:rPr>
        <w:t>Článek VI. Fakturační a platební podmínky</w:t>
      </w:r>
    </w:p>
    <w:p w14:paraId="03F3A1B6" w14:textId="77777777" w:rsidR="001639DC" w:rsidRDefault="00C83994">
      <w:pPr>
        <w:numPr>
          <w:ilvl w:val="0"/>
          <w:numId w:val="4"/>
        </w:numPr>
        <w:pBdr>
          <w:top w:val="nil"/>
          <w:left w:val="nil"/>
          <w:bottom w:val="nil"/>
          <w:right w:val="nil"/>
          <w:between w:val="nil"/>
        </w:pBdr>
        <w:tabs>
          <w:tab w:val="left" w:pos="0"/>
        </w:tabs>
        <w:spacing w:after="120" w:line="276" w:lineRule="auto"/>
        <w:ind w:left="284" w:hanging="284"/>
      </w:pPr>
      <w:bookmarkStart w:id="13" w:name="_heading=h.lnxbz9" w:colFirst="0" w:colLast="0"/>
      <w:bookmarkEnd w:id="13"/>
      <w:r>
        <w:rPr>
          <w:rFonts w:eastAsia="Arial" w:cs="Arial"/>
          <w:color w:val="000000"/>
          <w:szCs w:val="20"/>
        </w:rPr>
        <w:t xml:space="preserve">Úhrada ceny plnění dle čl. V. této Smlouvy bude prováděna bezhotovostním převodem na bankovní účet Poskytovatele uvedený v záhlaví této Smlouvy, a to na základě daňových dokladů – faktur (dále </w:t>
      </w:r>
      <w:r>
        <w:rPr>
          <w:rFonts w:eastAsia="Arial" w:cs="Arial"/>
          <w:color w:val="000000"/>
          <w:szCs w:val="20"/>
        </w:rPr>
        <w:lastRenderedPageBreak/>
        <w:t>též jen „</w:t>
      </w:r>
      <w:r>
        <w:rPr>
          <w:rFonts w:eastAsia="Arial" w:cs="Arial"/>
          <w:b/>
          <w:color w:val="000000"/>
          <w:szCs w:val="20"/>
        </w:rPr>
        <w:t>faktury</w:t>
      </w:r>
      <w:r>
        <w:rPr>
          <w:rFonts w:eastAsia="Arial" w:cs="Arial"/>
          <w:color w:val="000000"/>
          <w:szCs w:val="20"/>
        </w:rPr>
        <w:t>“) vystavených Poskytovatelem a zaslaných Objednateli. Smluvní strany se dohodly, že bankovní účty uvedené u jejich identifikačních údajů v záhlaví této Smlouvy mohou být měněny pouze formou písemných smluvních dodatků k této Smlouvě podepsaných oprávněnými zástupci Smluvních stran.</w:t>
      </w:r>
    </w:p>
    <w:p w14:paraId="348F77A5" w14:textId="26CDAFF8" w:rsidR="001639DC" w:rsidRDefault="00C83994">
      <w:pPr>
        <w:numPr>
          <w:ilvl w:val="0"/>
          <w:numId w:val="4"/>
        </w:numPr>
        <w:pBdr>
          <w:top w:val="nil"/>
          <w:left w:val="nil"/>
          <w:bottom w:val="nil"/>
          <w:right w:val="nil"/>
          <w:between w:val="nil"/>
        </w:pBdr>
        <w:tabs>
          <w:tab w:val="left" w:pos="0"/>
        </w:tabs>
        <w:spacing w:after="120" w:line="276" w:lineRule="auto"/>
        <w:ind w:left="284" w:hanging="284"/>
        <w:rPr>
          <w:rFonts w:eastAsia="Arial" w:cs="Arial"/>
          <w:color w:val="000000"/>
          <w:szCs w:val="20"/>
        </w:rPr>
      </w:pPr>
      <w:r>
        <w:rPr>
          <w:rFonts w:eastAsia="Arial" w:cs="Arial"/>
          <w:color w:val="000000"/>
          <w:szCs w:val="20"/>
        </w:rPr>
        <w:t xml:space="preserve">Úhrada celkové ceny plnění dle čl. V. odst. 3. této Smlouvy bude provedena postupně na základě tří faktur, vždy jedna faktura ve výši </w:t>
      </w:r>
      <w:r w:rsidR="001610D9" w:rsidRPr="00E24B33">
        <w:rPr>
          <w:rFonts w:eastAsia="Arial Unicode MS" w:cs="Arial"/>
          <w:szCs w:val="20"/>
        </w:rPr>
        <w:t>3 534</w:t>
      </w:r>
      <w:r w:rsidR="001610D9">
        <w:rPr>
          <w:rFonts w:eastAsia="Arial Unicode MS" w:cs="Arial"/>
          <w:szCs w:val="20"/>
        </w:rPr>
        <w:t> </w:t>
      </w:r>
      <w:r w:rsidR="001610D9" w:rsidRPr="00E24B33">
        <w:rPr>
          <w:rFonts w:eastAsia="Arial Unicode MS" w:cs="Arial"/>
          <w:szCs w:val="20"/>
        </w:rPr>
        <w:t>616</w:t>
      </w:r>
      <w:r w:rsidR="001610D9" w:rsidRPr="00A71C95">
        <w:rPr>
          <w:rFonts w:cs="Arial"/>
          <w:szCs w:val="20"/>
        </w:rPr>
        <w:t xml:space="preserve"> </w:t>
      </w:r>
      <w:r>
        <w:rPr>
          <w:rFonts w:eastAsia="Arial" w:cs="Arial"/>
          <w:color w:val="000000"/>
          <w:szCs w:val="20"/>
        </w:rPr>
        <w:t>Kč (slovy:</w:t>
      </w:r>
      <w:r w:rsidR="001610D9">
        <w:rPr>
          <w:rFonts w:eastAsia="Arial" w:cs="Arial"/>
          <w:color w:val="000000"/>
          <w:szCs w:val="20"/>
        </w:rPr>
        <w:t xml:space="preserve"> </w:t>
      </w:r>
      <w:r w:rsidR="001610D9">
        <w:rPr>
          <w:rFonts w:cs="Arial"/>
          <w:szCs w:val="20"/>
        </w:rPr>
        <w:t>tři miliony pět set tři</w:t>
      </w:r>
      <w:r w:rsidR="005611DA">
        <w:rPr>
          <w:rFonts w:cs="Arial"/>
          <w:szCs w:val="20"/>
        </w:rPr>
        <w:t>cet</w:t>
      </w:r>
      <w:r w:rsidR="001610D9">
        <w:rPr>
          <w:rFonts w:cs="Arial"/>
          <w:szCs w:val="20"/>
        </w:rPr>
        <w:t xml:space="preserve"> čtyři tisíc šest set šestnáct </w:t>
      </w:r>
      <w:r>
        <w:rPr>
          <w:rFonts w:eastAsia="Arial" w:cs="Arial"/>
          <w:color w:val="000000"/>
          <w:szCs w:val="20"/>
        </w:rPr>
        <w:t>korun českých) bez DPH na jedno příslušné dvanáctiměsíční období, s tím, že:</w:t>
      </w:r>
    </w:p>
    <w:p w14:paraId="7EEDB514" w14:textId="77777777" w:rsidR="001639DC" w:rsidRDefault="00C83994">
      <w:pPr>
        <w:numPr>
          <w:ilvl w:val="1"/>
          <w:numId w:val="4"/>
        </w:numPr>
        <w:pBdr>
          <w:top w:val="nil"/>
          <w:left w:val="nil"/>
          <w:bottom w:val="nil"/>
          <w:right w:val="nil"/>
          <w:between w:val="nil"/>
        </w:pBdr>
        <w:tabs>
          <w:tab w:val="left" w:pos="0"/>
        </w:tabs>
        <w:spacing w:after="120" w:line="276" w:lineRule="auto"/>
        <w:rPr>
          <w:rFonts w:eastAsia="Arial" w:cs="Arial"/>
          <w:color w:val="000000"/>
          <w:szCs w:val="20"/>
        </w:rPr>
      </w:pPr>
      <w:r>
        <w:rPr>
          <w:rFonts w:eastAsia="Arial" w:cs="Arial"/>
          <w:color w:val="000000"/>
          <w:szCs w:val="20"/>
        </w:rPr>
        <w:t>dvanáctiměsíčním obdobím se rozumí období dvanácti kalendářních měsíců po sobě jdoucích. Počátkem prvního dvanáctiměsíčního období je den zahájení poskytování Podpory dle této Smlouvy (viz čl. IV. odst. 1. Smlouvy) následující dvanáctiměsíční období navazuje vždy na období předešlé a jeho běh je obdobný;</w:t>
      </w:r>
    </w:p>
    <w:p w14:paraId="0048ACB1" w14:textId="77777777" w:rsidR="001639DC" w:rsidRDefault="00C83994">
      <w:pPr>
        <w:numPr>
          <w:ilvl w:val="1"/>
          <w:numId w:val="4"/>
        </w:numPr>
        <w:pBdr>
          <w:top w:val="nil"/>
          <w:left w:val="nil"/>
          <w:bottom w:val="nil"/>
          <w:right w:val="nil"/>
          <w:between w:val="nil"/>
        </w:pBdr>
        <w:tabs>
          <w:tab w:val="left" w:pos="0"/>
        </w:tabs>
        <w:spacing w:after="120" w:line="276" w:lineRule="auto"/>
        <w:rPr>
          <w:rFonts w:eastAsia="Arial" w:cs="Arial"/>
          <w:color w:val="000000"/>
          <w:szCs w:val="20"/>
        </w:rPr>
      </w:pPr>
      <w:r>
        <w:rPr>
          <w:rFonts w:eastAsia="Arial" w:cs="Arial"/>
          <w:color w:val="000000"/>
          <w:szCs w:val="20"/>
        </w:rPr>
        <w:t>dnem uskutečnění zdanitelného plnění je vždy první den příslušného dvanáctiměsíčního období;</w:t>
      </w:r>
    </w:p>
    <w:p w14:paraId="7F15AF7B" w14:textId="77777777" w:rsidR="001639DC" w:rsidRDefault="00C83994">
      <w:pPr>
        <w:numPr>
          <w:ilvl w:val="1"/>
          <w:numId w:val="4"/>
        </w:numPr>
        <w:pBdr>
          <w:top w:val="nil"/>
          <w:left w:val="nil"/>
          <w:bottom w:val="nil"/>
          <w:right w:val="nil"/>
          <w:between w:val="nil"/>
        </w:pBdr>
        <w:tabs>
          <w:tab w:val="left" w:pos="0"/>
        </w:tabs>
        <w:spacing w:after="120" w:line="276" w:lineRule="auto"/>
        <w:rPr>
          <w:rFonts w:eastAsia="Arial" w:cs="Arial"/>
          <w:color w:val="000000"/>
          <w:szCs w:val="20"/>
        </w:rPr>
      </w:pPr>
      <w:r>
        <w:rPr>
          <w:rFonts w:eastAsia="Arial" w:cs="Arial"/>
          <w:color w:val="000000"/>
          <w:szCs w:val="20"/>
        </w:rPr>
        <w:t>v případě předčasného ukončení této Smlouvy náleží Poskytovateli cena Podpory pouze za dobu, po kterou byla Podpora podle této Smlouvy poskytována.</w:t>
      </w:r>
    </w:p>
    <w:p w14:paraId="7DF9EFD4" w14:textId="77777777" w:rsidR="001639DC" w:rsidRDefault="00C83994">
      <w:pPr>
        <w:numPr>
          <w:ilvl w:val="0"/>
          <w:numId w:val="4"/>
        </w:numPr>
        <w:spacing w:after="120" w:line="276" w:lineRule="auto"/>
      </w:pPr>
      <w:r>
        <w:t xml:space="preserve">Fakturu Poskytovatel zašle Objednateli vždy v elektronické podobě do jeho datové schránky nebo e-mailem zaslaným na adresu </w:t>
      </w:r>
      <w:hyperlink r:id="rId10">
        <w:r>
          <w:t>podatelna@vzp.cz</w:t>
        </w:r>
      </w:hyperlink>
      <w:r>
        <w:t>, přičemž předmět (název) e-mailu musí začínat slovem „</w:t>
      </w:r>
      <w:r>
        <w:rPr>
          <w:b/>
        </w:rPr>
        <w:t>Faktura</w:t>
      </w:r>
      <w:r>
        <w:t xml:space="preserve">“. </w:t>
      </w:r>
    </w:p>
    <w:p w14:paraId="787280B0" w14:textId="77777777" w:rsidR="001639DC" w:rsidRDefault="00C83994">
      <w:pPr>
        <w:spacing w:after="120" w:line="276" w:lineRule="auto"/>
        <w:ind w:left="284"/>
      </w:pPr>
      <w:r>
        <w:t>Jako odběratel musí být vždy uvedena Všeobecná zdravotní pojišťovna České republiky, Orlická 2020/4, 130 00 Praha 3.</w:t>
      </w:r>
    </w:p>
    <w:p w14:paraId="5BBFD6B3" w14:textId="77777777" w:rsidR="001639DC" w:rsidRDefault="00C83994">
      <w:pPr>
        <w:numPr>
          <w:ilvl w:val="0"/>
          <w:numId w:val="4"/>
        </w:numPr>
        <w:spacing w:after="120" w:line="276" w:lineRule="auto"/>
      </w:pPr>
      <w:r>
        <w:t>Splatnost každé faktury se sjednává do 30 dnů ode dne jejího doručení Objednateli.</w:t>
      </w:r>
    </w:p>
    <w:p w14:paraId="699C671E" w14:textId="77777777" w:rsidR="001639DC" w:rsidRDefault="00C83994">
      <w:pPr>
        <w:numPr>
          <w:ilvl w:val="0"/>
          <w:numId w:val="4"/>
        </w:numPr>
        <w:pBdr>
          <w:top w:val="nil"/>
          <w:left w:val="nil"/>
          <w:bottom w:val="nil"/>
          <w:right w:val="nil"/>
          <w:between w:val="nil"/>
        </w:pBdr>
        <w:tabs>
          <w:tab w:val="left" w:pos="0"/>
        </w:tabs>
        <w:spacing w:after="120" w:line="276" w:lineRule="auto"/>
        <w:ind w:left="284" w:hanging="284"/>
      </w:pPr>
      <w:r>
        <w:rPr>
          <w:rFonts w:eastAsia="Arial" w:cs="Arial"/>
          <w:color w:val="000000"/>
          <w:szCs w:val="20"/>
        </w:rPr>
        <w:t>Úhrady za plnění budou provedeny v českých korunách. Peněžitá částka se považuje za zaplacenou (tj. peněžitý závazek se považuje za splněný) okamžikem jejího odepsání z účtu Objednatele ve prospěch účtu Poskytovatele. Poskytovatel není oprávněn nárokovat bankovní poplatky nebo jiné náklady vztahující se k převodu poukazovaných částek mezi Smluvními stranami na základě této Smlouvy.</w:t>
      </w:r>
    </w:p>
    <w:p w14:paraId="302CDECA" w14:textId="77777777" w:rsidR="001639DC" w:rsidRDefault="00C83994">
      <w:pPr>
        <w:numPr>
          <w:ilvl w:val="0"/>
          <w:numId w:val="4"/>
        </w:numPr>
        <w:pBdr>
          <w:top w:val="nil"/>
          <w:left w:val="nil"/>
          <w:bottom w:val="nil"/>
          <w:right w:val="nil"/>
          <w:between w:val="nil"/>
        </w:pBdr>
        <w:tabs>
          <w:tab w:val="left" w:pos="0"/>
        </w:tabs>
        <w:spacing w:after="120" w:line="276" w:lineRule="auto"/>
        <w:ind w:left="284" w:hanging="284"/>
        <w:rPr>
          <w:rFonts w:eastAsia="Arial" w:cs="Arial"/>
          <w:color w:val="000000"/>
          <w:szCs w:val="20"/>
        </w:rPr>
      </w:pPr>
      <w:r>
        <w:rPr>
          <w:rFonts w:eastAsia="Arial" w:cs="Arial"/>
          <w:color w:val="000000"/>
          <w:szCs w:val="20"/>
        </w:rPr>
        <w:t>Každá faktura musí obsahovat všechny náležitosti řádného účetního a daňového dokladu ve smyslu příslušných zákonných ustanovení, zejména zákona č. 235/2004 Sb., o dani z přidané hodnoty, ve znění pozdějších předpisů (dále též jen „</w:t>
      </w:r>
      <w:r>
        <w:rPr>
          <w:rFonts w:eastAsia="Arial" w:cs="Arial"/>
          <w:b/>
          <w:color w:val="000000"/>
          <w:szCs w:val="20"/>
        </w:rPr>
        <w:t>zákon o DPH</w:t>
      </w:r>
      <w:r>
        <w:rPr>
          <w:rFonts w:eastAsia="Arial" w:cs="Arial"/>
          <w:color w:val="000000"/>
          <w:szCs w:val="20"/>
        </w:rPr>
        <w:t xml:space="preserve">“), zákona č. 563/1991 Sb., o účetnictví, ve znění pozdějších předpisů a § 435 občanského zákoníku. Každá faktura musí též obsahovat číslo této Smlouvy. </w:t>
      </w:r>
    </w:p>
    <w:p w14:paraId="446BACA5" w14:textId="77777777" w:rsidR="001639DC" w:rsidRDefault="00C83994">
      <w:pPr>
        <w:numPr>
          <w:ilvl w:val="0"/>
          <w:numId w:val="4"/>
        </w:numPr>
        <w:spacing w:after="120" w:line="276" w:lineRule="auto"/>
      </w:pPr>
      <w:r>
        <w:t>V případě, že faktura nebude mít veškeré náležitosti podle výše uvedených právních předpisů nebo podle této Smlouvy nebo v ní budou uvedeny nesprávné údaje, tj. chybné formální náležitosti (identifikační údaje, zdaňovací období, odkaz na číslo Smlouvy apod.), je Objednatel oprávněn před uplynutím lhůty splatnosti fakturu vrátit Poskytovateli. V průvodním dopise ke vrácené faktuře musí uvést důvod vrácení. Poskytovatel je povinen podle povahy nesprávnosti fakturu opravit nebo nově vyhotovit. Oprávněným vrácením faktury přestává běžet původní lhůta splatnosti a celá 30denní lhůta běží znovu ode dne opětovného doručení opravené nebo nově vyhotovené faktury Objednateli způsobem uvedeným v odst. 3. tohoto článku.</w:t>
      </w:r>
    </w:p>
    <w:p w14:paraId="71CB17CC" w14:textId="77777777" w:rsidR="001639DC" w:rsidRDefault="00C83994">
      <w:pPr>
        <w:numPr>
          <w:ilvl w:val="0"/>
          <w:numId w:val="4"/>
        </w:numPr>
        <w:spacing w:after="120" w:line="276" w:lineRule="auto"/>
      </w:pPr>
      <w:r>
        <w:t>Poskytovatel, pokud je v den uzavření této Smlouvy plátcem DPH,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109a zákona o DPH, finančnímu úřadu místně příslušnému Poskytovateli. Poskytovatel výslovně prohlašuje, že příslušnou cenu plnění bude považovat tímto za zaplacenou. Smluvní strany se dohodly, že podle tohoto ustanovení bude postupováno též v případě, pokud se Poskytovatel v době poskytování plnění dle této Smlouvy plátcem DPH stane.</w:t>
      </w:r>
    </w:p>
    <w:p w14:paraId="175CCF7E" w14:textId="77777777" w:rsidR="001639DC" w:rsidRDefault="00C83994">
      <w:pPr>
        <w:numPr>
          <w:ilvl w:val="0"/>
          <w:numId w:val="4"/>
        </w:numPr>
        <w:spacing w:after="120" w:line="276" w:lineRule="auto"/>
      </w:pPr>
      <w:r>
        <w:lastRenderedPageBreak/>
        <w:t>Poskytovatel prohlašuje, že správce daně před uzavřením Smlouvy nerozhodl, že Poskytovatel je nespolehlivým plátcem ve smyslu § 106a zákona o DPH (dále jen „</w:t>
      </w:r>
      <w:r>
        <w:rPr>
          <w:b/>
        </w:rPr>
        <w:t>Nespolehlivý plátce</w:t>
      </w:r>
      <w:r>
        <w:t>“). Pokud v době uskutečnění příslušného zdanitelného plnění bude Poskytovatel uveden v aplikaci „Registr plátců DPH“ jako Nespolehlivý plátce, dohodly se Smluvní strany, že Objednatel bude postupovat při úhradě ceny příslušného plnění způsobem uvedeným v odst. 8. tohoto článku.</w:t>
      </w:r>
    </w:p>
    <w:p w14:paraId="5E90DB48" w14:textId="77777777" w:rsidR="001639DC" w:rsidRDefault="00C83994">
      <w:pPr>
        <w:numPr>
          <w:ilvl w:val="0"/>
          <w:numId w:val="4"/>
        </w:numPr>
        <w:spacing w:after="120" w:line="276" w:lineRule="auto"/>
      </w:pPr>
      <w: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76393012" w14:textId="77777777" w:rsidR="001639DC" w:rsidRDefault="001639DC">
      <w:pPr>
        <w:tabs>
          <w:tab w:val="left" w:pos="0"/>
        </w:tabs>
        <w:spacing w:after="120" w:line="276" w:lineRule="auto"/>
      </w:pPr>
    </w:p>
    <w:p w14:paraId="0AF6175B" w14:textId="77777777" w:rsidR="001639DC" w:rsidRDefault="00C83994">
      <w:pPr>
        <w:spacing w:after="120" w:line="276" w:lineRule="auto"/>
        <w:jc w:val="center"/>
        <w:rPr>
          <w:b/>
        </w:rPr>
      </w:pPr>
      <w:r>
        <w:rPr>
          <w:b/>
        </w:rPr>
        <w:t>Článek VII. Sankční ujednání</w:t>
      </w:r>
    </w:p>
    <w:p w14:paraId="1DEAB86E" w14:textId="77777777" w:rsidR="001639DC" w:rsidRDefault="00C83994">
      <w:pPr>
        <w:numPr>
          <w:ilvl w:val="0"/>
          <w:numId w:val="13"/>
        </w:numPr>
        <w:pBdr>
          <w:top w:val="nil"/>
          <w:left w:val="nil"/>
          <w:bottom w:val="nil"/>
          <w:right w:val="nil"/>
          <w:between w:val="nil"/>
        </w:pBdr>
        <w:spacing w:after="120" w:line="276" w:lineRule="auto"/>
        <w:rPr>
          <w:rFonts w:eastAsia="Arial" w:cs="Arial"/>
          <w:color w:val="000000"/>
          <w:szCs w:val="20"/>
        </w:rPr>
      </w:pPr>
      <w:bookmarkStart w:id="14" w:name="_heading=h.35nkun2" w:colFirst="0" w:colLast="0"/>
      <w:bookmarkEnd w:id="14"/>
      <w:r>
        <w:rPr>
          <w:rFonts w:eastAsia="Arial" w:cs="Arial"/>
          <w:color w:val="000000"/>
          <w:szCs w:val="20"/>
        </w:rPr>
        <w:t xml:space="preserve">V případě prodlení Poskytovatele se zahájením poskytování Podpory podle této Smlouvy nebo v případě neposkytnutí příslušného řádného plnění v rámci Podpory v průběhu doby plnění Smlouvy (viz čl. IV. odst. 1. Smlouvy) je Objednatel oprávněn vyúčtovat Poskytovateli smluvní pokutu ve výši 500,- Kč za každý kalendářní den prodlení a Poskytovatel je povinen tuto smluvní pokutu zaplatit. </w:t>
      </w:r>
    </w:p>
    <w:p w14:paraId="50B21A8B" w14:textId="77777777" w:rsidR="001639DC" w:rsidRDefault="00C83994">
      <w:pPr>
        <w:numPr>
          <w:ilvl w:val="0"/>
          <w:numId w:val="13"/>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V případě prodlení Objednatele se zaplacením faktury může Poskytovatel vyúčtovat Objednateli úrok z prodlení ve výši 0,02 % z nezaplacené částky předmětné faktury za každý kalendářní den prodlení a Objednatel je povinen tuto sankci uhradit.</w:t>
      </w:r>
    </w:p>
    <w:p w14:paraId="5BB12461" w14:textId="77777777" w:rsidR="001639DC" w:rsidRDefault="00C83994">
      <w:pPr>
        <w:numPr>
          <w:ilvl w:val="0"/>
          <w:numId w:val="13"/>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Uhrazením jakékoliv smluvní pokuty není dotčeno právo oprávněné Smluvní strany na náhradu vzniklé škody v celém rozsahu.</w:t>
      </w:r>
    </w:p>
    <w:p w14:paraId="35CD8DEE" w14:textId="77777777" w:rsidR="001639DC" w:rsidRDefault="001639DC">
      <w:pPr>
        <w:pBdr>
          <w:top w:val="nil"/>
          <w:left w:val="nil"/>
          <w:bottom w:val="nil"/>
          <w:right w:val="nil"/>
          <w:between w:val="nil"/>
        </w:pBdr>
        <w:tabs>
          <w:tab w:val="left" w:pos="426"/>
        </w:tabs>
        <w:spacing w:after="120" w:line="276" w:lineRule="auto"/>
        <w:ind w:left="360" w:hanging="360"/>
        <w:rPr>
          <w:rFonts w:eastAsia="Arial" w:cs="Arial"/>
          <w:color w:val="000000"/>
          <w:szCs w:val="20"/>
        </w:rPr>
      </w:pPr>
    </w:p>
    <w:p w14:paraId="29CAC47F" w14:textId="77777777" w:rsidR="001639DC" w:rsidRDefault="00C83994">
      <w:pPr>
        <w:spacing w:after="120" w:line="276" w:lineRule="auto"/>
        <w:jc w:val="center"/>
        <w:rPr>
          <w:b/>
        </w:rPr>
      </w:pPr>
      <w:r>
        <w:rPr>
          <w:b/>
        </w:rPr>
        <w:t>Článek VIII. Odpovědnost za vady</w:t>
      </w:r>
    </w:p>
    <w:p w14:paraId="62E0F83A" w14:textId="77777777" w:rsidR="001639DC" w:rsidRDefault="00C83994">
      <w:pPr>
        <w:numPr>
          <w:ilvl w:val="0"/>
          <w:numId w:val="14"/>
        </w:numPr>
        <w:pBdr>
          <w:top w:val="nil"/>
          <w:left w:val="nil"/>
          <w:bottom w:val="nil"/>
          <w:right w:val="nil"/>
          <w:between w:val="nil"/>
        </w:pBdr>
        <w:spacing w:after="120" w:line="276" w:lineRule="auto"/>
        <w:ind w:left="357" w:hanging="357"/>
      </w:pPr>
      <w:bookmarkStart w:id="15" w:name="_heading=h.1ksv4uv" w:colFirst="0" w:colLast="0"/>
      <w:bookmarkEnd w:id="15"/>
      <w:r>
        <w:rPr>
          <w:rFonts w:eastAsia="Arial" w:cs="Arial"/>
          <w:color w:val="000000"/>
          <w:szCs w:val="20"/>
        </w:rPr>
        <w:t xml:space="preserve">Poskytovatel se zavazuje realizovat předmět plnění této Smlouvy v souladu s příslušnými právními předpisy a s maximální péčí a v kvalitě odpovídající jeho odborným znalostem a zkušenostem, kterou lze od něj vzhledem k jeho profesnímu zaměření právem očekávat. </w:t>
      </w:r>
    </w:p>
    <w:p w14:paraId="6B9FBCD5" w14:textId="77777777" w:rsidR="001639DC" w:rsidRDefault="001639DC">
      <w:pPr>
        <w:widowControl w:val="0"/>
        <w:spacing w:after="120" w:line="276" w:lineRule="auto"/>
      </w:pPr>
    </w:p>
    <w:p w14:paraId="6A1C2991" w14:textId="77777777" w:rsidR="001639DC" w:rsidRDefault="00C83994">
      <w:pPr>
        <w:pBdr>
          <w:top w:val="nil"/>
          <w:left w:val="nil"/>
          <w:bottom w:val="nil"/>
          <w:right w:val="nil"/>
          <w:between w:val="nil"/>
        </w:pBdr>
        <w:tabs>
          <w:tab w:val="left" w:pos="1701"/>
        </w:tabs>
        <w:spacing w:after="120" w:line="276" w:lineRule="auto"/>
        <w:ind w:left="360"/>
        <w:jc w:val="center"/>
        <w:rPr>
          <w:rFonts w:eastAsia="Arial" w:cs="Arial"/>
          <w:b/>
          <w:color w:val="000000"/>
          <w:szCs w:val="20"/>
        </w:rPr>
      </w:pPr>
      <w:r>
        <w:rPr>
          <w:rFonts w:eastAsia="Arial" w:cs="Arial"/>
          <w:b/>
          <w:color w:val="000000"/>
          <w:szCs w:val="20"/>
        </w:rPr>
        <w:t>Článek IX. Odpovědnost za škodu</w:t>
      </w:r>
    </w:p>
    <w:p w14:paraId="557398FC" w14:textId="77777777" w:rsidR="001639DC" w:rsidRDefault="00C83994">
      <w:pPr>
        <w:spacing w:after="120" w:line="276" w:lineRule="auto"/>
        <w:ind w:left="360" w:hanging="360"/>
      </w:pPr>
      <w:r>
        <w:t>1.</w:t>
      </w:r>
      <w:r>
        <w:tab/>
        <w:t xml:space="preserve">Nezbytným předpokladem pro splnění předmětu plnění dle této Smlouvy je účinná a kvalifikovaná spolupráce obou Smluvních stran. 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4EC0D84F" w14:textId="77777777" w:rsidR="001639DC" w:rsidRDefault="00C83994">
      <w:pPr>
        <w:spacing w:after="120" w:line="276" w:lineRule="auto"/>
        <w:ind w:left="360" w:hanging="360"/>
      </w:pPr>
      <w:r>
        <w:t>2.</w:t>
      </w:r>
      <w:r>
        <w:tab/>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57372398" w14:textId="77777777" w:rsidR="001639DC" w:rsidRDefault="00C83994">
      <w:pPr>
        <w:spacing w:after="120" w:line="276" w:lineRule="auto"/>
        <w:ind w:left="360" w:hanging="360"/>
      </w:pPr>
      <w:r>
        <w:t>3.</w:t>
      </w:r>
      <w:r>
        <w:tab/>
        <w:t>Odpovědnost za škodu se řídí příslušnými ustanoveními občanského zákoníku, zejména pak ustanovením § 2894 a násl. a § 2913 občanského zákoníku.</w:t>
      </w:r>
    </w:p>
    <w:p w14:paraId="795D5056" w14:textId="77777777" w:rsidR="001639DC" w:rsidRDefault="001639DC">
      <w:pPr>
        <w:spacing w:after="120" w:line="276" w:lineRule="auto"/>
        <w:ind w:left="360" w:hanging="360"/>
      </w:pPr>
    </w:p>
    <w:p w14:paraId="0BDFF672" w14:textId="77777777" w:rsidR="001639DC" w:rsidRDefault="00C83994">
      <w:pPr>
        <w:spacing w:after="120" w:line="276" w:lineRule="auto"/>
        <w:ind w:left="284"/>
        <w:jc w:val="center"/>
        <w:rPr>
          <w:b/>
        </w:rPr>
      </w:pPr>
      <w:r>
        <w:rPr>
          <w:b/>
        </w:rPr>
        <w:t>Článek X. Ochrana informací, osobních údajů a dat</w:t>
      </w:r>
    </w:p>
    <w:p w14:paraId="29FE28FD" w14:textId="77777777" w:rsidR="001639DC" w:rsidRDefault="00C83994">
      <w:pPr>
        <w:numPr>
          <w:ilvl w:val="0"/>
          <w:numId w:val="12"/>
        </w:numPr>
        <w:spacing w:after="120" w:line="276" w:lineRule="auto"/>
      </w:pPr>
      <w:bookmarkStart w:id="16" w:name="_heading=h.44sinio" w:colFirst="0" w:colLast="0"/>
      <w:bookmarkEnd w:id="16"/>
      <w: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w:t>
      </w:r>
      <w:r>
        <w:lastRenderedPageBreak/>
        <w:t xml:space="preserve">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VZP ČR eviduje pomocí výpočetní techniky, či jinak. Tutéž mlčenlivost se zavazuje zachovávat i Poskytovatel. Toto ujednání platí i v případě nahrazení uvedených právních předpisů předpisy jinými. </w:t>
      </w:r>
    </w:p>
    <w:p w14:paraId="167746E2" w14:textId="77777777" w:rsidR="001639DC" w:rsidRDefault="00C83994">
      <w:pPr>
        <w:numPr>
          <w:ilvl w:val="0"/>
          <w:numId w:val="12"/>
        </w:numPr>
        <w:spacing w:after="120" w:line="276" w:lineRule="auto"/>
      </w:pPr>
      <w: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78E6FED3" w14:textId="77777777" w:rsidR="001639DC" w:rsidRDefault="00C83994">
      <w:pPr>
        <w:numPr>
          <w:ilvl w:val="0"/>
          <w:numId w:val="12"/>
        </w:numPr>
        <w:spacing w:after="120" w:line="276" w:lineRule="auto"/>
      </w:pPr>
      <w:r>
        <w:t xml:space="preserve">Za porušení závazků uvedených v odst. 1. a 2. tohoto článku se považuje i využití těchto skutečností, údajů a dat, jakož i dalších vědomostí pro vlastní prospěch Poskytovatele, prospěch třetí osoby nebo pro jiné důvody. </w:t>
      </w:r>
    </w:p>
    <w:p w14:paraId="50CAE3BB" w14:textId="77777777" w:rsidR="001639DC" w:rsidRDefault="00C83994">
      <w:pPr>
        <w:numPr>
          <w:ilvl w:val="0"/>
          <w:numId w:val="12"/>
        </w:numPr>
        <w:spacing w:after="120" w:line="276" w:lineRule="auto"/>
      </w:pPr>
      <w: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128F592C" w14:textId="77777777" w:rsidR="001639DC" w:rsidRDefault="00C83994">
      <w:pPr>
        <w:numPr>
          <w:ilvl w:val="0"/>
          <w:numId w:val="12"/>
        </w:numPr>
        <w:spacing w:after="120" w:line="276" w:lineRule="auto"/>
      </w:pPr>
      <w:r>
        <w:t>Za porušení závazku uvedeného v odstavci 1. tohoto článku je Poskytovatel povinen zaplatit Objednateli v každém jednotlivém případě smluvní pokutu ve výši 1 000 000 Kč (slovy: jeden milion korun českých). Ujednáním o smluvní pokutě ani zaplacením smluvní pokuty není dotčeno právo Objednatele na náhradu škody vzniklé z porušení povinnosti, ke kterému se smluvní pokuta vztahuje.</w:t>
      </w:r>
    </w:p>
    <w:p w14:paraId="205CB777" w14:textId="77777777" w:rsidR="001639DC" w:rsidRDefault="00C83994">
      <w:pPr>
        <w:numPr>
          <w:ilvl w:val="0"/>
          <w:numId w:val="12"/>
        </w:numPr>
        <w:spacing w:after="120" w:line="276" w:lineRule="auto"/>
      </w:pPr>
      <w:r>
        <w:t>Za porušení závazku uvedeného v odstavci 2. tohoto článku je Poskytovatel povinen zaplatit Objednateli v každém jednotlivém případě smluvní pokutu ve výši 100 000 Kč (slovy: jedno sto tisíc korun českých). Ujednáním o smluvní pokutě ani zaplacením smluvní pokuty není dotčeno právo Objednatele na náhradu škody vzniklé z porušení povinnosti, ke kterému se smluvní pokuta vztahuje.</w:t>
      </w:r>
    </w:p>
    <w:p w14:paraId="1FF718D7" w14:textId="77777777" w:rsidR="001639DC" w:rsidRDefault="00C83994">
      <w:pPr>
        <w:numPr>
          <w:ilvl w:val="0"/>
          <w:numId w:val="12"/>
        </w:numPr>
        <w:spacing w:after="120" w:line="276" w:lineRule="auto"/>
      </w:pPr>
      <w:r>
        <w:t>Závazky Smluvních stran uvedené v tomto článku trvají i po skončení tohoto smluvního vztahu.</w:t>
      </w:r>
    </w:p>
    <w:p w14:paraId="6580A3F4" w14:textId="77777777" w:rsidR="001639DC" w:rsidRDefault="001639DC">
      <w:pPr>
        <w:spacing w:after="120" w:line="276" w:lineRule="auto"/>
        <w:ind w:left="284"/>
      </w:pPr>
    </w:p>
    <w:p w14:paraId="131EBC28" w14:textId="77777777" w:rsidR="001639DC" w:rsidRDefault="00C83994">
      <w:pPr>
        <w:spacing w:after="120" w:line="276" w:lineRule="auto"/>
        <w:ind w:left="284"/>
        <w:jc w:val="center"/>
        <w:rPr>
          <w:b/>
        </w:rPr>
      </w:pPr>
      <w:r>
        <w:rPr>
          <w:b/>
        </w:rPr>
        <w:t>Článek XI. Uveřejnění smlouvy</w:t>
      </w:r>
    </w:p>
    <w:p w14:paraId="1D250F51" w14:textId="77777777" w:rsidR="001639DC" w:rsidRDefault="00C83994">
      <w:pPr>
        <w:widowControl w:val="0"/>
        <w:numPr>
          <w:ilvl w:val="3"/>
          <w:numId w:val="6"/>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31C96686" w14:textId="77777777" w:rsidR="001639DC" w:rsidRDefault="00C83994">
      <w:pPr>
        <w:widowControl w:val="0"/>
        <w:numPr>
          <w:ilvl w:val="3"/>
          <w:numId w:val="6"/>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Uveřejněním této Smlouvy dle odst. 1. tohoto článku se rozumí uveřejnění elektronického obrazu textového obsahu této Smlouvy ve formátu stanoveném zákonem o registru smluv, prostřednictvím registru smluv.</w:t>
      </w:r>
    </w:p>
    <w:p w14:paraId="166F0331" w14:textId="77777777" w:rsidR="001639DC" w:rsidRDefault="00C83994">
      <w:pPr>
        <w:widowControl w:val="0"/>
        <w:numPr>
          <w:ilvl w:val="3"/>
          <w:numId w:val="6"/>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Smluvní strany se dohodly, že tuto Smlouvu zašle správci registru smluv k uveřejnění prostřednictvím registru smluv Objednatel. Poskytovatel je povinen zkontrolovat, že tato Smlouva včetně všech příloh a metadat byla řádně prostřednictvím registru smluv uveřejněna. V případě, že Poskytovatel zjistí jakékoliv nepřesnosti či nedostatky, je povinen bez zbytečného odkladu o nich Objednatele informovat.</w:t>
      </w:r>
    </w:p>
    <w:p w14:paraId="3BDA207B" w14:textId="77777777" w:rsidR="001639DC" w:rsidRDefault="00C83994">
      <w:pPr>
        <w:widowControl w:val="0"/>
        <w:numPr>
          <w:ilvl w:val="3"/>
          <w:numId w:val="6"/>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3A1CD292" w14:textId="77777777" w:rsidR="001639DC" w:rsidRDefault="00C83994">
      <w:pPr>
        <w:widowControl w:val="0"/>
        <w:numPr>
          <w:ilvl w:val="3"/>
          <w:numId w:val="6"/>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Poskytovatel bere na vědomí a souhlasí s tím, že Objednatel může rovněž uveřejnit tuto Smlouvu (tj. celé znění včetně všech příloh), včetně všech jejích případných dodatků, na svém profilu zadavatele; ustanovení odst. 6. a 7. tohoto článku se vztahuje i na tento postup.</w:t>
      </w:r>
    </w:p>
    <w:p w14:paraId="7EC6F43E" w14:textId="77777777" w:rsidR="001639DC" w:rsidRDefault="00C83994">
      <w:pPr>
        <w:widowControl w:val="0"/>
        <w:numPr>
          <w:ilvl w:val="3"/>
          <w:numId w:val="6"/>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lastRenderedPageBreak/>
        <w:t>Poskytovatel výslovně souhlasí s tím, že s výjimkou ustanovení znečitelněných v souladu se zákonem o registru smluv bude uveřejněno úplné znění této Smlouvy.</w:t>
      </w:r>
    </w:p>
    <w:p w14:paraId="3194DA1F" w14:textId="77777777" w:rsidR="001639DC" w:rsidRDefault="00C83994">
      <w:pPr>
        <w:widowControl w:val="0"/>
        <w:numPr>
          <w:ilvl w:val="3"/>
          <w:numId w:val="6"/>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 xml:space="preserve">Objednatel výslovně souhlasí s tím, že s výjimkou ustanovení znečitelněných v souladu se zákonem o registru smluv bude uveřejněno úplné znění této Smlouvy. </w:t>
      </w:r>
    </w:p>
    <w:p w14:paraId="3680AACF" w14:textId="77777777" w:rsidR="001639DC" w:rsidRDefault="001639DC">
      <w:pPr>
        <w:spacing w:after="120" w:line="276" w:lineRule="auto"/>
        <w:ind w:left="284"/>
        <w:jc w:val="center"/>
        <w:rPr>
          <w:b/>
        </w:rPr>
      </w:pPr>
    </w:p>
    <w:p w14:paraId="01258EFC" w14:textId="77777777" w:rsidR="001639DC" w:rsidRDefault="00C83994">
      <w:pPr>
        <w:spacing w:after="120" w:line="276" w:lineRule="auto"/>
        <w:ind w:left="284"/>
        <w:jc w:val="center"/>
        <w:rPr>
          <w:b/>
        </w:rPr>
      </w:pPr>
      <w:r>
        <w:rPr>
          <w:b/>
        </w:rPr>
        <w:t>Článek XII. Pojištění</w:t>
      </w:r>
    </w:p>
    <w:p w14:paraId="18EB0D7A" w14:textId="77777777" w:rsidR="001639DC" w:rsidRDefault="00C83994">
      <w:pPr>
        <w:numPr>
          <w:ilvl w:val="0"/>
          <w:numId w:val="11"/>
        </w:numPr>
        <w:tabs>
          <w:tab w:val="left" w:pos="369"/>
        </w:tabs>
        <w:spacing w:after="120"/>
      </w:pPr>
      <w:r>
        <w:t>Poskytovatel se zavazuje být po celou dobu poskytování plnění podle této Smlouvy pojištěn pro případ vzniku odpovědnosti Poskytovatele za škodu, která může vzniknout Objednateli nebo třetí osobě při plnění závazků Poskytovatele dle této Smlouvy nebo v souvislosti s plněním těchto závazků. Toto pojištění musí být sjednáno s pojistnou částkou minimálně 5 000 000 Kč (slovy: pět milionů korun českých.</w:t>
      </w:r>
    </w:p>
    <w:p w14:paraId="0C70B015" w14:textId="77777777" w:rsidR="001639DC" w:rsidRDefault="00C83994">
      <w:pPr>
        <w:numPr>
          <w:ilvl w:val="0"/>
          <w:numId w:val="11"/>
        </w:numPr>
        <w:tabs>
          <w:tab w:val="left" w:pos="369"/>
        </w:tabs>
        <w:spacing w:after="120"/>
      </w:pPr>
      <w:r>
        <w:t>Poskytovatel je povinen na výzvu Pověřené osoby Objednatele doložit, že je pojištěn pro případ odpovědnosti za škodu v požadovaném rozsahu, a to vždy nejpozději do 5 pracovních dnů od doručení výzvy Objednatele. Poskytovatel k prokázání splnění tohoto požadavku předloží Objednateli dokumenty, ze kterých bude splnění požadavku na pojištění vyplývat, tj. např. pojistnou smlouvu a pojistku, doklad o zaplacení pojistného na příslušné období, pojistný certifikát nebo obdobný doklad vydaný příslušnou pojišťovnou.</w:t>
      </w:r>
    </w:p>
    <w:p w14:paraId="5A1FBB6E" w14:textId="77777777" w:rsidR="001639DC" w:rsidRDefault="00C83994">
      <w:pPr>
        <w:numPr>
          <w:ilvl w:val="0"/>
          <w:numId w:val="11"/>
        </w:numPr>
        <w:tabs>
          <w:tab w:val="left" w:pos="369"/>
        </w:tabs>
        <w:spacing w:after="120"/>
      </w:pPr>
      <w:r>
        <w:t>V případě nesplnění povinnosti Poskytovatele stanovené v odst. 1. tohoto článku je Objednatel oprávněn vyúčtovat Poskytovateli smluvní pokutu ve výši 5 000 Kč (slovy: pět tisíc korun českých), a to za každý i jen započatý kalendářní den, kdy porušení této povinnosti trvá a Poskytovatel je povinen tuto částku uhradit.</w:t>
      </w:r>
    </w:p>
    <w:p w14:paraId="0E664A16" w14:textId="77777777" w:rsidR="001639DC" w:rsidRDefault="00C83994">
      <w:pPr>
        <w:numPr>
          <w:ilvl w:val="0"/>
          <w:numId w:val="11"/>
        </w:numPr>
        <w:tabs>
          <w:tab w:val="left" w:pos="369"/>
        </w:tabs>
        <w:spacing w:after="120"/>
      </w:pPr>
      <w:r>
        <w:t>V případě nesplnění povinnosti Poskytovatele stanovené v odst. 2. tohoto článku je Objednatel oprávněn vyúčtovat Poskytovateli smluvní pokutu ve výši 5 000 Kč (slovy: pět tisíc korun českých) za každý i jen započatý kalendářní den prodlení a Poskytovatel je povinen tuto částku uhradit.</w:t>
      </w:r>
    </w:p>
    <w:p w14:paraId="5941A430" w14:textId="54E46B24" w:rsidR="001639DC" w:rsidRPr="00CA1EB9" w:rsidRDefault="00C83994" w:rsidP="005A16DB">
      <w:pPr>
        <w:numPr>
          <w:ilvl w:val="0"/>
          <w:numId w:val="11"/>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Objednatel je oprávněn uplatnit právo na zaplacení smluvních pokut dle odst. 3. a 4. tohoto článku souběžně.</w:t>
      </w:r>
    </w:p>
    <w:p w14:paraId="46449CF4" w14:textId="77777777" w:rsidR="001639DC" w:rsidRDefault="001639DC">
      <w:pPr>
        <w:pBdr>
          <w:top w:val="nil"/>
          <w:left w:val="nil"/>
          <w:bottom w:val="nil"/>
          <w:right w:val="nil"/>
          <w:between w:val="nil"/>
        </w:pBdr>
        <w:spacing w:after="120" w:line="276" w:lineRule="auto"/>
        <w:ind w:left="360"/>
        <w:rPr>
          <w:rFonts w:eastAsia="Arial" w:cs="Arial"/>
          <w:color w:val="000000"/>
          <w:szCs w:val="20"/>
        </w:rPr>
      </w:pPr>
    </w:p>
    <w:p w14:paraId="51461C79" w14:textId="77777777" w:rsidR="001639DC" w:rsidRDefault="00C83994">
      <w:pPr>
        <w:pBdr>
          <w:top w:val="nil"/>
          <w:left w:val="nil"/>
          <w:bottom w:val="nil"/>
          <w:right w:val="nil"/>
          <w:between w:val="nil"/>
        </w:pBdr>
        <w:tabs>
          <w:tab w:val="left" w:pos="1701"/>
        </w:tabs>
        <w:spacing w:after="120" w:line="276" w:lineRule="auto"/>
        <w:ind w:left="425" w:hanging="425"/>
        <w:jc w:val="center"/>
        <w:rPr>
          <w:rFonts w:eastAsia="Arial" w:cs="Arial"/>
          <w:color w:val="000000"/>
          <w:szCs w:val="20"/>
        </w:rPr>
      </w:pPr>
      <w:bookmarkStart w:id="17" w:name="_heading=h.2jxsxqh" w:colFirst="0" w:colLast="0"/>
      <w:bookmarkEnd w:id="17"/>
      <w:r>
        <w:rPr>
          <w:rFonts w:eastAsia="Arial" w:cs="Arial"/>
          <w:b/>
          <w:color w:val="000000"/>
          <w:szCs w:val="20"/>
        </w:rPr>
        <w:t>Článek XIII. Ostatní ustanovení</w:t>
      </w:r>
      <w:r>
        <w:rPr>
          <w:rFonts w:eastAsia="Arial" w:cs="Arial"/>
          <w:color w:val="000000"/>
          <w:szCs w:val="20"/>
        </w:rPr>
        <w:t xml:space="preserve"> </w:t>
      </w:r>
    </w:p>
    <w:p w14:paraId="09BF3403" w14:textId="77777777" w:rsidR="001639DC" w:rsidRDefault="00C83994">
      <w:pPr>
        <w:numPr>
          <w:ilvl w:val="0"/>
          <w:numId w:val="5"/>
        </w:numPr>
        <w:spacing w:after="120" w:line="276" w:lineRule="auto"/>
        <w:ind w:left="284" w:hanging="284"/>
      </w:pPr>
      <w:r>
        <w:t>Tato Smlouva se uzavírá na dobu 36 kalendářních měsíců ode dne zahájení poskytování Podpory dle této Smlouvy.</w:t>
      </w:r>
    </w:p>
    <w:p w14:paraId="073B19B4" w14:textId="77777777" w:rsidR="001639DC" w:rsidRDefault="00C83994">
      <w:pPr>
        <w:numPr>
          <w:ilvl w:val="0"/>
          <w:numId w:val="5"/>
        </w:numPr>
        <w:spacing w:after="120" w:line="276" w:lineRule="auto"/>
        <w:ind w:left="284" w:hanging="284"/>
      </w:pPr>
      <w:r>
        <w:t>Tato Smlouva může být předčasně ukončena písemnou dohodou Smluvních stran podepsanou oprávněnými zástupci obou Smluvních stran.</w:t>
      </w:r>
    </w:p>
    <w:p w14:paraId="0155D43A" w14:textId="77777777" w:rsidR="001639DC" w:rsidRDefault="00C83994">
      <w:pPr>
        <w:numPr>
          <w:ilvl w:val="0"/>
          <w:numId w:val="5"/>
        </w:numPr>
        <w:spacing w:after="120" w:line="276" w:lineRule="auto"/>
        <w:ind w:left="284" w:hanging="284"/>
      </w:pPr>
      <w:r>
        <w:t xml:space="preserve">Každá ze Smluvních stran může od této Smlouvy odstoupit v případech stanovených touto Smlouvou nebo zákonem, zejména pak dle ustanovení § 1977 a násl. a § 2001 a násl. občanského zákoníku. Účinky odstoupení nastávají dnem doručení oznámení o odstoupení příslušné Smluvní straně. </w:t>
      </w:r>
    </w:p>
    <w:p w14:paraId="54BB73A2" w14:textId="77777777" w:rsidR="001639DC" w:rsidRDefault="00C83994">
      <w:pPr>
        <w:numPr>
          <w:ilvl w:val="0"/>
          <w:numId w:val="5"/>
        </w:numPr>
        <w:spacing w:after="120" w:line="276" w:lineRule="auto"/>
        <w:ind w:left="284" w:hanging="284"/>
      </w:pPr>
      <w:r>
        <w:t xml:space="preserve">Pro účely odstoupení od této Smlouvy se za podstatné porušení smluvních povinností považuje prokazatelné porušení povinností Poskytovatele uvedených v čl. X. Smlouvy. </w:t>
      </w:r>
    </w:p>
    <w:p w14:paraId="36500165" w14:textId="77777777" w:rsidR="001639DC" w:rsidRDefault="00C83994">
      <w:pPr>
        <w:numPr>
          <w:ilvl w:val="0"/>
          <w:numId w:val="5"/>
        </w:numPr>
        <w:spacing w:after="120" w:line="276" w:lineRule="auto"/>
        <w:ind w:left="284" w:hanging="284"/>
      </w:pPr>
      <w:r>
        <w:t>Smluvní strany mohou od této Smlouvy odstoupit i pro nepodstatné porušení této Smlouvy. V případě nepodstatného porušení smluvní povinnosti může druhá Smluvní strana od Smlouvy odstoupit poté, co strana, která se dopustila nepodstatného porušení smluvní povinnosti, svoji povinnost nesplní ani v dodatečné přiměřené lhůtě, kterou jí druhá Smluvní strana poskytla.</w:t>
      </w:r>
    </w:p>
    <w:p w14:paraId="36524214" w14:textId="77777777" w:rsidR="001639DC" w:rsidRDefault="00C83994">
      <w:pPr>
        <w:numPr>
          <w:ilvl w:val="0"/>
          <w:numId w:val="5"/>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Jakýmkoliv ukončením této Smlouvy však není dotčena platnost ustanovení, z jejichž povahy vyplývá, že mají být pro Smluvní strany závazná i po skončení této Smlouvy (např. ustanovení týkající se odpovědnosti za škodu, povinnosti mlčenlivosti, řešení sporů apod.).</w:t>
      </w:r>
    </w:p>
    <w:p w14:paraId="0CBDD08F" w14:textId="77777777" w:rsidR="001639DC" w:rsidRDefault="001639DC">
      <w:pPr>
        <w:pBdr>
          <w:top w:val="nil"/>
          <w:left w:val="nil"/>
          <w:bottom w:val="nil"/>
          <w:right w:val="nil"/>
          <w:between w:val="nil"/>
        </w:pBdr>
        <w:spacing w:after="120" w:line="276" w:lineRule="auto"/>
        <w:ind w:left="284"/>
        <w:rPr>
          <w:rFonts w:eastAsia="Arial" w:cs="Arial"/>
          <w:color w:val="000000"/>
          <w:szCs w:val="20"/>
        </w:rPr>
      </w:pPr>
    </w:p>
    <w:p w14:paraId="68F6C8E0" w14:textId="77777777" w:rsidR="001639DC" w:rsidRDefault="00C83994">
      <w:pPr>
        <w:spacing w:after="120" w:line="276" w:lineRule="auto"/>
        <w:ind w:left="426"/>
        <w:jc w:val="center"/>
      </w:pPr>
      <w:r>
        <w:rPr>
          <w:b/>
        </w:rPr>
        <w:t>Článek XIV. Závěrečná ustanovení</w:t>
      </w:r>
    </w:p>
    <w:p w14:paraId="5E852BCA" w14:textId="77777777" w:rsidR="001639DC" w:rsidRDefault="00C83994">
      <w:pPr>
        <w:numPr>
          <w:ilvl w:val="1"/>
          <w:numId w:val="2"/>
        </w:numPr>
        <w:spacing w:after="120" w:line="276" w:lineRule="auto"/>
        <w:ind w:left="284" w:hanging="284"/>
      </w:pPr>
      <w:r>
        <w:t xml:space="preserve">Tato Smlouva se uzavírá na dobu určitou, a to na dobu 36 kalendářních měsíců ode dne zahájení poskytování Podpory (viz čl. IV. odst. 1. Smlouvy). </w:t>
      </w:r>
    </w:p>
    <w:p w14:paraId="35EDCC3C" w14:textId="77777777" w:rsidR="001639DC" w:rsidRDefault="00C83994">
      <w:pPr>
        <w:numPr>
          <w:ilvl w:val="1"/>
          <w:numId w:val="2"/>
        </w:numPr>
        <w:spacing w:after="120" w:line="276" w:lineRule="auto"/>
        <w:ind w:left="284" w:hanging="284"/>
      </w:pPr>
      <w:r>
        <w:lastRenderedPageBreak/>
        <w:t>Tato Smlouva nabývá platnosti dnem jejího podpisu poslední Smluvní stranou a účinnosti dnem uveřejnění prostřednictvím registru smluv.</w:t>
      </w:r>
    </w:p>
    <w:p w14:paraId="7EC0EA31" w14:textId="77777777" w:rsidR="001639DC" w:rsidRDefault="00C83994">
      <w:pPr>
        <w:numPr>
          <w:ilvl w:val="1"/>
          <w:numId w:val="2"/>
        </w:numPr>
        <w:spacing w:after="120" w:line="276" w:lineRule="auto"/>
        <w:ind w:left="284" w:hanging="284"/>
      </w:pPr>
      <w:r>
        <w:t>Tato Smlouva může být měněna a doplňována pouze po oboustranné dohodě Smluvních stran na celém obsahu její změny či doplnění, a to pouze formou písemných, vzestupně číslovaných smluvních dodatků, podepsaných oprávněnými zástupci obou Smluvních stran. Uzavření písemného smluvního dodatku podle tohoto odstavce se nevyžaduje pouze v případě změny Pověřených osob Smluvních stran nebo jejich kontaktních údajů (viz odst. 4. tohoto článku).</w:t>
      </w:r>
    </w:p>
    <w:p w14:paraId="49E5562E" w14:textId="77777777" w:rsidR="001639DC" w:rsidRDefault="00C83994">
      <w:pPr>
        <w:numPr>
          <w:ilvl w:val="1"/>
          <w:numId w:val="2"/>
        </w:numPr>
        <w:spacing w:after="120" w:line="276" w:lineRule="auto"/>
        <w:ind w:left="284" w:hanging="284"/>
      </w:pPr>
      <w:r>
        <w:t>Osobami pověřenými k jednání ve věcech plnění této Smlouvy (dále jen „</w:t>
      </w:r>
      <w:r>
        <w:rPr>
          <w:b/>
        </w:rPr>
        <w:t>Pověřené osoby</w:t>
      </w:r>
      <w:r>
        <w:t>“) jsou:</w:t>
      </w:r>
    </w:p>
    <w:p w14:paraId="7E2810A1" w14:textId="77777777" w:rsidR="001639DC" w:rsidRDefault="00C83994">
      <w:pPr>
        <w:spacing w:after="120" w:line="276" w:lineRule="auto"/>
        <w:ind w:left="425"/>
      </w:pPr>
      <w:r>
        <w:t>Za Objednatele:</w:t>
      </w:r>
    </w:p>
    <w:tbl>
      <w:tblPr>
        <w:tblStyle w:val="a0"/>
        <w:tblW w:w="8861" w:type="dxa"/>
        <w:tblInd w:w="425" w:type="dxa"/>
        <w:tblLayout w:type="fixed"/>
        <w:tblLook w:val="0400" w:firstRow="0" w:lastRow="0" w:firstColumn="0" w:lastColumn="0" w:noHBand="0" w:noVBand="1"/>
      </w:tblPr>
      <w:tblGrid>
        <w:gridCol w:w="2235"/>
        <w:gridCol w:w="6626"/>
      </w:tblGrid>
      <w:tr w:rsidR="001639DC" w14:paraId="42640870" w14:textId="77777777">
        <w:trPr>
          <w:trHeight w:val="504"/>
        </w:trPr>
        <w:tc>
          <w:tcPr>
            <w:tcW w:w="2235" w:type="dxa"/>
            <w:shd w:val="clear" w:color="auto" w:fill="auto"/>
            <w:vAlign w:val="center"/>
          </w:tcPr>
          <w:p w14:paraId="6212DC3C" w14:textId="77777777" w:rsidR="001639DC" w:rsidRDefault="00C83994">
            <w:pPr>
              <w:spacing w:before="120" w:after="120" w:line="276" w:lineRule="auto"/>
            </w:pPr>
            <w:r>
              <w:t>Jméno a příjmení:</w:t>
            </w:r>
          </w:p>
        </w:tc>
        <w:tc>
          <w:tcPr>
            <w:tcW w:w="6626" w:type="dxa"/>
            <w:vAlign w:val="center"/>
          </w:tcPr>
          <w:p w14:paraId="0897CB6F" w14:textId="35FF4114" w:rsidR="001639DC" w:rsidRDefault="00E62E6F">
            <w:pPr>
              <w:spacing w:before="120" w:after="120" w:line="276" w:lineRule="auto"/>
            </w:pPr>
            <w:r>
              <w:t>XXXXXXXXXXXXX</w:t>
            </w:r>
          </w:p>
        </w:tc>
      </w:tr>
      <w:tr w:rsidR="001639DC" w14:paraId="73291A25" w14:textId="77777777">
        <w:trPr>
          <w:trHeight w:val="504"/>
        </w:trPr>
        <w:tc>
          <w:tcPr>
            <w:tcW w:w="2235" w:type="dxa"/>
            <w:shd w:val="clear" w:color="auto" w:fill="auto"/>
            <w:vAlign w:val="center"/>
          </w:tcPr>
          <w:p w14:paraId="12A4837D" w14:textId="77777777" w:rsidR="001639DC" w:rsidRDefault="00C83994">
            <w:pPr>
              <w:spacing w:before="120" w:after="120" w:line="276" w:lineRule="auto"/>
            </w:pPr>
            <w:r>
              <w:t>E-mail:</w:t>
            </w:r>
          </w:p>
        </w:tc>
        <w:tc>
          <w:tcPr>
            <w:tcW w:w="6626" w:type="dxa"/>
            <w:vAlign w:val="center"/>
          </w:tcPr>
          <w:p w14:paraId="4C54FADF" w14:textId="1C7074D5" w:rsidR="001639DC" w:rsidRPr="007F0E35" w:rsidRDefault="00E62E6F" w:rsidP="007F0E35">
            <w:pPr>
              <w:spacing w:before="120" w:after="120" w:line="276" w:lineRule="auto"/>
              <w:rPr>
                <w:szCs w:val="22"/>
              </w:rPr>
            </w:pPr>
            <w:hyperlink r:id="rId11" w:history="1">
              <w:r>
                <w:t>XXXXXXXXXXXXX</w:t>
              </w:r>
            </w:hyperlink>
          </w:p>
        </w:tc>
      </w:tr>
      <w:tr w:rsidR="001639DC" w14:paraId="4EA68685" w14:textId="77777777">
        <w:trPr>
          <w:trHeight w:val="505"/>
        </w:trPr>
        <w:tc>
          <w:tcPr>
            <w:tcW w:w="2235" w:type="dxa"/>
            <w:shd w:val="clear" w:color="auto" w:fill="auto"/>
            <w:vAlign w:val="center"/>
          </w:tcPr>
          <w:p w14:paraId="0ADCF52E" w14:textId="77777777" w:rsidR="001639DC" w:rsidRDefault="00C83994">
            <w:pPr>
              <w:spacing w:before="120" w:after="120" w:line="276" w:lineRule="auto"/>
            </w:pPr>
            <w:r>
              <w:t>Telefon:</w:t>
            </w:r>
          </w:p>
        </w:tc>
        <w:tc>
          <w:tcPr>
            <w:tcW w:w="6626" w:type="dxa"/>
            <w:vAlign w:val="center"/>
          </w:tcPr>
          <w:p w14:paraId="59B6A360" w14:textId="03CB2EF0" w:rsidR="001639DC" w:rsidRPr="007F0E35" w:rsidRDefault="00E62E6F" w:rsidP="007F0E35">
            <w:pPr>
              <w:spacing w:before="120" w:after="120" w:line="276" w:lineRule="auto"/>
              <w:rPr>
                <w:szCs w:val="22"/>
              </w:rPr>
            </w:pPr>
            <w:hyperlink r:id="rId12" w:history="1">
              <w:r>
                <w:t>XXXXXXXXXXXXX</w:t>
              </w:r>
            </w:hyperlink>
          </w:p>
        </w:tc>
      </w:tr>
    </w:tbl>
    <w:p w14:paraId="658384B1" w14:textId="77777777" w:rsidR="001639DC" w:rsidRDefault="00C83994">
      <w:pPr>
        <w:spacing w:before="120" w:after="120" w:line="276" w:lineRule="auto"/>
        <w:ind w:left="425"/>
      </w:pPr>
      <w:r>
        <w:t>nebo</w:t>
      </w:r>
    </w:p>
    <w:tbl>
      <w:tblPr>
        <w:tblStyle w:val="a1"/>
        <w:tblW w:w="8861" w:type="dxa"/>
        <w:tblInd w:w="425" w:type="dxa"/>
        <w:tblLayout w:type="fixed"/>
        <w:tblLook w:val="0400" w:firstRow="0" w:lastRow="0" w:firstColumn="0" w:lastColumn="0" w:noHBand="0" w:noVBand="1"/>
      </w:tblPr>
      <w:tblGrid>
        <w:gridCol w:w="2235"/>
        <w:gridCol w:w="6626"/>
      </w:tblGrid>
      <w:tr w:rsidR="001639DC" w14:paraId="48DA91B8" w14:textId="77777777">
        <w:trPr>
          <w:trHeight w:val="504"/>
        </w:trPr>
        <w:tc>
          <w:tcPr>
            <w:tcW w:w="2235" w:type="dxa"/>
            <w:shd w:val="clear" w:color="auto" w:fill="auto"/>
            <w:vAlign w:val="center"/>
          </w:tcPr>
          <w:p w14:paraId="0186551E" w14:textId="77777777" w:rsidR="001639DC" w:rsidRDefault="00C83994">
            <w:pPr>
              <w:spacing w:before="120" w:after="120" w:line="276" w:lineRule="auto"/>
            </w:pPr>
            <w:r>
              <w:t>Jméno a příjmení:</w:t>
            </w:r>
          </w:p>
        </w:tc>
        <w:tc>
          <w:tcPr>
            <w:tcW w:w="6626" w:type="dxa"/>
            <w:vAlign w:val="center"/>
          </w:tcPr>
          <w:p w14:paraId="197C1912" w14:textId="24D44EAF" w:rsidR="001639DC" w:rsidRPr="007F0E35" w:rsidRDefault="00E62E6F" w:rsidP="007F0E35">
            <w:pPr>
              <w:spacing w:before="120" w:after="120" w:line="276" w:lineRule="auto"/>
              <w:rPr>
                <w:szCs w:val="22"/>
              </w:rPr>
            </w:pPr>
            <w:hyperlink r:id="rId13" w:history="1">
              <w:r>
                <w:t>XXXXXXXXXXXXX</w:t>
              </w:r>
            </w:hyperlink>
          </w:p>
        </w:tc>
      </w:tr>
      <w:tr w:rsidR="001639DC" w14:paraId="0D659E46" w14:textId="77777777">
        <w:trPr>
          <w:trHeight w:val="504"/>
        </w:trPr>
        <w:tc>
          <w:tcPr>
            <w:tcW w:w="2235" w:type="dxa"/>
            <w:shd w:val="clear" w:color="auto" w:fill="auto"/>
            <w:vAlign w:val="center"/>
          </w:tcPr>
          <w:p w14:paraId="04151E72" w14:textId="77777777" w:rsidR="001639DC" w:rsidRDefault="00C83994">
            <w:pPr>
              <w:spacing w:before="120" w:after="120" w:line="276" w:lineRule="auto"/>
            </w:pPr>
            <w:r>
              <w:t>E-mail:</w:t>
            </w:r>
          </w:p>
        </w:tc>
        <w:tc>
          <w:tcPr>
            <w:tcW w:w="6626" w:type="dxa"/>
            <w:vAlign w:val="center"/>
          </w:tcPr>
          <w:p w14:paraId="393DA812" w14:textId="7FDB4A77" w:rsidR="001639DC" w:rsidRPr="007F0E35" w:rsidRDefault="00E62E6F" w:rsidP="007F0E35">
            <w:pPr>
              <w:spacing w:before="120" w:after="120" w:line="276" w:lineRule="auto"/>
              <w:rPr>
                <w:szCs w:val="22"/>
              </w:rPr>
            </w:pPr>
            <w:hyperlink r:id="rId14" w:history="1">
              <w:r>
                <w:t>XXXXXXXXXXXXX</w:t>
              </w:r>
            </w:hyperlink>
          </w:p>
        </w:tc>
      </w:tr>
      <w:tr w:rsidR="001639DC" w14:paraId="00614444" w14:textId="77777777">
        <w:trPr>
          <w:trHeight w:val="505"/>
        </w:trPr>
        <w:tc>
          <w:tcPr>
            <w:tcW w:w="2235" w:type="dxa"/>
            <w:shd w:val="clear" w:color="auto" w:fill="auto"/>
            <w:vAlign w:val="center"/>
          </w:tcPr>
          <w:p w14:paraId="0E758DD8" w14:textId="77777777" w:rsidR="001639DC" w:rsidRDefault="00C83994">
            <w:pPr>
              <w:spacing w:before="120" w:after="120" w:line="276" w:lineRule="auto"/>
            </w:pPr>
            <w:r>
              <w:t>Telefon:</w:t>
            </w:r>
          </w:p>
        </w:tc>
        <w:tc>
          <w:tcPr>
            <w:tcW w:w="6626" w:type="dxa"/>
            <w:vAlign w:val="center"/>
          </w:tcPr>
          <w:p w14:paraId="4ECF439A" w14:textId="066ABE56" w:rsidR="001639DC" w:rsidRPr="007F0E35" w:rsidRDefault="00E62E6F" w:rsidP="007F0E35">
            <w:pPr>
              <w:spacing w:before="120" w:after="120" w:line="276" w:lineRule="auto"/>
              <w:rPr>
                <w:szCs w:val="22"/>
              </w:rPr>
            </w:pPr>
            <w:hyperlink r:id="rId15" w:history="1">
              <w:r>
                <w:t>XXXXXXXXXXXXX</w:t>
              </w:r>
            </w:hyperlink>
          </w:p>
        </w:tc>
      </w:tr>
    </w:tbl>
    <w:p w14:paraId="3BCC5962" w14:textId="77777777" w:rsidR="001639DC" w:rsidRDefault="00C83994">
      <w:pPr>
        <w:spacing w:before="120" w:after="120" w:line="276" w:lineRule="auto"/>
        <w:ind w:left="425"/>
      </w:pPr>
      <w:r>
        <w:t>Za Poskytovatele:</w:t>
      </w:r>
    </w:p>
    <w:tbl>
      <w:tblPr>
        <w:tblStyle w:val="a2"/>
        <w:tblW w:w="8861" w:type="dxa"/>
        <w:tblInd w:w="425" w:type="dxa"/>
        <w:tblLayout w:type="fixed"/>
        <w:tblLook w:val="0400" w:firstRow="0" w:lastRow="0" w:firstColumn="0" w:lastColumn="0" w:noHBand="0" w:noVBand="1"/>
      </w:tblPr>
      <w:tblGrid>
        <w:gridCol w:w="2235"/>
        <w:gridCol w:w="6626"/>
      </w:tblGrid>
      <w:tr w:rsidR="001639DC" w14:paraId="66D8A547" w14:textId="77777777">
        <w:trPr>
          <w:trHeight w:val="504"/>
        </w:trPr>
        <w:tc>
          <w:tcPr>
            <w:tcW w:w="2235" w:type="dxa"/>
            <w:shd w:val="clear" w:color="auto" w:fill="auto"/>
            <w:vAlign w:val="center"/>
          </w:tcPr>
          <w:p w14:paraId="298DD5C0" w14:textId="77777777" w:rsidR="001639DC" w:rsidRDefault="00C83994">
            <w:pPr>
              <w:spacing w:before="120" w:after="120" w:line="276" w:lineRule="auto"/>
            </w:pPr>
            <w:r>
              <w:t>Jméno a příjmení:</w:t>
            </w:r>
          </w:p>
        </w:tc>
        <w:tc>
          <w:tcPr>
            <w:tcW w:w="6626" w:type="dxa"/>
            <w:vAlign w:val="center"/>
          </w:tcPr>
          <w:p w14:paraId="414DF5BA" w14:textId="481496CC" w:rsidR="001639DC" w:rsidRDefault="00E62E6F">
            <w:pPr>
              <w:spacing w:before="120" w:after="120" w:line="276" w:lineRule="auto"/>
            </w:pPr>
            <w:hyperlink r:id="rId16" w:history="1">
              <w:r>
                <w:t>XXXXXXXXXXXXX</w:t>
              </w:r>
            </w:hyperlink>
          </w:p>
        </w:tc>
      </w:tr>
      <w:tr w:rsidR="001639DC" w14:paraId="18858E79" w14:textId="77777777">
        <w:trPr>
          <w:trHeight w:val="504"/>
        </w:trPr>
        <w:tc>
          <w:tcPr>
            <w:tcW w:w="2235" w:type="dxa"/>
            <w:shd w:val="clear" w:color="auto" w:fill="auto"/>
            <w:vAlign w:val="center"/>
          </w:tcPr>
          <w:p w14:paraId="2049844A" w14:textId="77777777" w:rsidR="001639DC" w:rsidRDefault="00C83994">
            <w:pPr>
              <w:spacing w:before="120" w:after="120" w:line="276" w:lineRule="auto"/>
            </w:pPr>
            <w:r>
              <w:t xml:space="preserve">Funkce: </w:t>
            </w:r>
          </w:p>
        </w:tc>
        <w:tc>
          <w:tcPr>
            <w:tcW w:w="6626" w:type="dxa"/>
            <w:vAlign w:val="center"/>
          </w:tcPr>
          <w:p w14:paraId="3F64C926" w14:textId="58E9FABB" w:rsidR="001639DC" w:rsidRPr="005A16DB" w:rsidRDefault="00E62E6F">
            <w:pPr>
              <w:spacing w:before="120" w:after="120" w:line="276" w:lineRule="auto"/>
              <w:rPr>
                <w:highlight w:val="lightGray"/>
              </w:rPr>
            </w:pPr>
            <w:hyperlink r:id="rId17" w:history="1">
              <w:r>
                <w:t>XXXXXXXXXXXXX</w:t>
              </w:r>
            </w:hyperlink>
          </w:p>
        </w:tc>
      </w:tr>
      <w:tr w:rsidR="001639DC" w14:paraId="3E23E0F1" w14:textId="77777777">
        <w:trPr>
          <w:trHeight w:val="504"/>
        </w:trPr>
        <w:tc>
          <w:tcPr>
            <w:tcW w:w="2235" w:type="dxa"/>
            <w:shd w:val="clear" w:color="auto" w:fill="auto"/>
            <w:vAlign w:val="center"/>
          </w:tcPr>
          <w:p w14:paraId="56B77F5D" w14:textId="77777777" w:rsidR="001639DC" w:rsidRDefault="00C83994">
            <w:pPr>
              <w:spacing w:before="120" w:after="120" w:line="276" w:lineRule="auto"/>
            </w:pPr>
            <w:r>
              <w:t>E-mail:</w:t>
            </w:r>
          </w:p>
        </w:tc>
        <w:tc>
          <w:tcPr>
            <w:tcW w:w="6626" w:type="dxa"/>
            <w:vAlign w:val="center"/>
          </w:tcPr>
          <w:p w14:paraId="589DF098" w14:textId="2344C3FB" w:rsidR="001639DC" w:rsidRDefault="00E62E6F">
            <w:pPr>
              <w:spacing w:before="120" w:after="120" w:line="276" w:lineRule="auto"/>
            </w:pPr>
            <w:hyperlink r:id="rId18" w:history="1">
              <w:r>
                <w:t>XXXXXXXXXXXXX</w:t>
              </w:r>
            </w:hyperlink>
          </w:p>
        </w:tc>
      </w:tr>
      <w:tr w:rsidR="001639DC" w14:paraId="46C373E1" w14:textId="77777777">
        <w:trPr>
          <w:trHeight w:val="505"/>
        </w:trPr>
        <w:tc>
          <w:tcPr>
            <w:tcW w:w="2235" w:type="dxa"/>
            <w:shd w:val="clear" w:color="auto" w:fill="auto"/>
            <w:vAlign w:val="center"/>
          </w:tcPr>
          <w:p w14:paraId="017962B5" w14:textId="77777777" w:rsidR="001639DC" w:rsidRDefault="00C83994">
            <w:pPr>
              <w:spacing w:before="120" w:after="120" w:line="276" w:lineRule="auto"/>
            </w:pPr>
            <w:r>
              <w:t>Telefon:</w:t>
            </w:r>
          </w:p>
        </w:tc>
        <w:tc>
          <w:tcPr>
            <w:tcW w:w="6626" w:type="dxa"/>
            <w:vAlign w:val="center"/>
          </w:tcPr>
          <w:p w14:paraId="28CC7579" w14:textId="201F4B2D" w:rsidR="001639DC" w:rsidRDefault="00E62E6F">
            <w:pPr>
              <w:spacing w:before="120" w:after="120" w:line="276" w:lineRule="auto"/>
            </w:pPr>
            <w:hyperlink r:id="rId19" w:history="1">
              <w:r>
                <w:t>XXXXXXXXXXXXX</w:t>
              </w:r>
            </w:hyperlink>
            <w:r w:rsidR="00C83994">
              <w:t>‬</w:t>
            </w:r>
            <w:r w:rsidR="00C83994">
              <w:t>‬</w:t>
            </w:r>
          </w:p>
        </w:tc>
      </w:tr>
    </w:tbl>
    <w:p w14:paraId="53416AAC" w14:textId="77777777" w:rsidR="001639DC" w:rsidRDefault="00C83994">
      <w:pPr>
        <w:numPr>
          <w:ilvl w:val="1"/>
          <w:numId w:val="2"/>
        </w:numPr>
        <w:spacing w:after="120" w:line="276" w:lineRule="auto"/>
        <w:ind w:left="284" w:hanging="284"/>
        <w:rPr>
          <w:i/>
        </w:rPr>
      </w:pPr>
      <w:r>
        <w:t>Je-li Pověřených osob určeno více, může každá z nich jednat samostatně.</w:t>
      </w:r>
    </w:p>
    <w:p w14:paraId="0FA6283F" w14:textId="77777777" w:rsidR="001639DC" w:rsidRDefault="00C83994">
      <w:pPr>
        <w:numPr>
          <w:ilvl w:val="1"/>
          <w:numId w:val="2"/>
        </w:numPr>
        <w:spacing w:after="120" w:line="276" w:lineRule="auto"/>
        <w:ind w:left="284" w:hanging="284"/>
      </w:pPr>
      <w:r>
        <w:t>Pokud není změna Pověřených osob Smluvních stran nebo jejich kontaktních údajů provedena dodatkem k této Smlouvě, je každá Smluvní strana povinna bez zbytečného odkladu příslušnou změnu písemně oznámit druhé Smluvní straně, a to:</w:t>
      </w:r>
    </w:p>
    <w:p w14:paraId="7462B19B" w14:textId="77777777" w:rsidR="001639DC" w:rsidRDefault="00C83994">
      <w:pPr>
        <w:numPr>
          <w:ilvl w:val="0"/>
          <w:numId w:val="15"/>
        </w:numPr>
        <w:pBdr>
          <w:top w:val="nil"/>
          <w:left w:val="nil"/>
          <w:bottom w:val="nil"/>
          <w:right w:val="nil"/>
          <w:between w:val="nil"/>
        </w:pBdr>
        <w:spacing w:after="120" w:line="276" w:lineRule="auto"/>
        <w:ind w:left="851" w:hanging="425"/>
        <w:rPr>
          <w:rFonts w:eastAsia="Arial" w:cs="Arial"/>
          <w:color w:val="000000"/>
          <w:szCs w:val="20"/>
        </w:rPr>
      </w:pPr>
      <w:r>
        <w:rPr>
          <w:rFonts w:eastAsia="Arial" w:cs="Arial"/>
          <w:color w:val="000000"/>
          <w:szCs w:val="20"/>
        </w:rPr>
        <w:t>e-mailem zaslaným Pověřenou osobou jedné Smluvní strany Pověřené osobě druhé Smluvní strany, ve kterém bude změna oznámena;</w:t>
      </w:r>
    </w:p>
    <w:p w14:paraId="09447468" w14:textId="77777777" w:rsidR="001639DC" w:rsidRDefault="00C83994">
      <w:pPr>
        <w:numPr>
          <w:ilvl w:val="0"/>
          <w:numId w:val="15"/>
        </w:numPr>
        <w:pBdr>
          <w:top w:val="nil"/>
          <w:left w:val="nil"/>
          <w:bottom w:val="nil"/>
          <w:right w:val="nil"/>
          <w:between w:val="nil"/>
        </w:pBdr>
        <w:spacing w:after="120" w:line="276" w:lineRule="auto"/>
        <w:ind w:left="851" w:hanging="425"/>
        <w:rPr>
          <w:rFonts w:eastAsia="Arial" w:cs="Arial"/>
          <w:color w:val="000000"/>
          <w:szCs w:val="20"/>
        </w:rPr>
      </w:pPr>
      <w:r>
        <w:rPr>
          <w:rFonts w:eastAsia="Arial" w:cs="Arial"/>
          <w:color w:val="000000"/>
          <w:szCs w:val="20"/>
        </w:rPr>
        <w:t xml:space="preserve">oznámením zaslaným druhé Smluvní straně do její datové schránky; </w:t>
      </w:r>
    </w:p>
    <w:p w14:paraId="22327F3E" w14:textId="77777777" w:rsidR="001639DC" w:rsidRDefault="00C83994">
      <w:pPr>
        <w:spacing w:after="120" w:line="276" w:lineRule="auto"/>
        <w:ind w:left="425"/>
      </w:pPr>
      <w:r>
        <w:t>změna Pověřené osoby či jejích kontaktních údajů pak je účinná dnem uvedeným v oznámení, nejdříve však okamžikem, kdy je oznámení o změně druhé Smluvní straně řádně doručeno.</w:t>
      </w:r>
    </w:p>
    <w:p w14:paraId="06482F9D" w14:textId="77777777" w:rsidR="001639DC" w:rsidRDefault="00C83994">
      <w:pPr>
        <w:numPr>
          <w:ilvl w:val="1"/>
          <w:numId w:val="2"/>
        </w:numPr>
        <w:spacing w:after="120" w:line="276" w:lineRule="auto"/>
        <w:ind w:left="284" w:hanging="284"/>
      </w:pPr>
      <w:r>
        <w:t xml:space="preserve">Poskytovatel není oprávněn bez předchozího písemného souhlasu Objednatele postoupit či převést jakákoli práva či povinnosti vyplývající z této Smlouvy na jakoukoli třetí osobu. </w:t>
      </w:r>
    </w:p>
    <w:p w14:paraId="1A575575" w14:textId="77777777" w:rsidR="001639DC" w:rsidRDefault="00C83994">
      <w:pPr>
        <w:numPr>
          <w:ilvl w:val="1"/>
          <w:numId w:val="2"/>
        </w:numPr>
        <w:spacing w:after="120" w:line="276" w:lineRule="auto"/>
        <w:ind w:left="284" w:hanging="284"/>
      </w:pPr>
      <w:r>
        <w:t xml:space="preserve">Tato Smlouva a vztahy z ní vyplývající se řídí právním řádem České republiky, zejména příslušnými ustanoveními občanského zákoníku. 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23761E8E" w14:textId="77777777" w:rsidR="001639DC" w:rsidRDefault="00C83994">
      <w:pPr>
        <w:numPr>
          <w:ilvl w:val="1"/>
          <w:numId w:val="2"/>
        </w:numPr>
        <w:spacing w:after="120" w:line="276" w:lineRule="auto"/>
        <w:ind w:left="284" w:hanging="284"/>
      </w:pPr>
      <w:r>
        <w:lastRenderedPageBreak/>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57EF825" w14:textId="77777777" w:rsidR="001639DC" w:rsidRDefault="00C83994">
      <w:pPr>
        <w:numPr>
          <w:ilvl w:val="1"/>
          <w:numId w:val="2"/>
        </w:numPr>
        <w:spacing w:after="120" w:line="276" w:lineRule="auto"/>
        <w:ind w:left="284" w:hanging="284"/>
      </w:pPr>
      <w:r>
        <w:t>Nedílnou součástí této Smlouvy jsou její Přílohy:</w:t>
      </w:r>
    </w:p>
    <w:p w14:paraId="73024CA6" w14:textId="77777777" w:rsidR="001639DC" w:rsidRDefault="00C83994">
      <w:pPr>
        <w:pBdr>
          <w:top w:val="nil"/>
          <w:left w:val="nil"/>
          <w:bottom w:val="nil"/>
          <w:right w:val="nil"/>
          <w:between w:val="nil"/>
        </w:pBdr>
        <w:spacing w:line="276" w:lineRule="auto"/>
        <w:ind w:left="425"/>
        <w:rPr>
          <w:rFonts w:eastAsia="Arial" w:cs="Arial"/>
          <w:color w:val="000000"/>
          <w:szCs w:val="20"/>
        </w:rPr>
      </w:pPr>
      <w:bookmarkStart w:id="18" w:name="_heading=h.z337ya" w:colFirst="0" w:colLast="0"/>
      <w:bookmarkEnd w:id="18"/>
      <w:r>
        <w:rPr>
          <w:rFonts w:eastAsia="Arial" w:cs="Arial"/>
          <w:color w:val="000000"/>
          <w:szCs w:val="20"/>
        </w:rPr>
        <w:t>Příloha č. 1 – Seznam SW produktů</w:t>
      </w:r>
    </w:p>
    <w:p w14:paraId="3A4378C3" w14:textId="77777777" w:rsidR="001639DC" w:rsidRDefault="00C83994">
      <w:pPr>
        <w:pBdr>
          <w:top w:val="nil"/>
          <w:left w:val="nil"/>
          <w:bottom w:val="nil"/>
          <w:right w:val="nil"/>
          <w:between w:val="nil"/>
        </w:pBdr>
        <w:spacing w:line="276" w:lineRule="auto"/>
        <w:ind w:left="425"/>
        <w:rPr>
          <w:rFonts w:eastAsia="Arial" w:cs="Arial"/>
          <w:color w:val="000000"/>
          <w:szCs w:val="20"/>
        </w:rPr>
      </w:pPr>
      <w:r>
        <w:rPr>
          <w:rFonts w:eastAsia="Arial" w:cs="Arial"/>
          <w:color w:val="000000"/>
          <w:szCs w:val="20"/>
        </w:rPr>
        <w:t>Příloha č. 2 – Specifikace ceny</w:t>
      </w:r>
    </w:p>
    <w:p w14:paraId="497C9F70" w14:textId="77777777" w:rsidR="001639DC" w:rsidRDefault="00C83994">
      <w:pPr>
        <w:pBdr>
          <w:top w:val="nil"/>
          <w:left w:val="nil"/>
          <w:bottom w:val="nil"/>
          <w:right w:val="nil"/>
          <w:between w:val="nil"/>
        </w:pBdr>
        <w:spacing w:after="120" w:line="276" w:lineRule="auto"/>
        <w:ind w:left="425"/>
        <w:rPr>
          <w:rFonts w:eastAsia="Arial" w:cs="Arial"/>
          <w:color w:val="000000"/>
          <w:szCs w:val="20"/>
        </w:rPr>
      </w:pPr>
      <w:r>
        <w:rPr>
          <w:rFonts w:eastAsia="Arial" w:cs="Arial"/>
          <w:color w:val="000000"/>
          <w:szCs w:val="20"/>
        </w:rPr>
        <w:t xml:space="preserve">Příloha č. 3 – Licenční podmínky výrobce </w:t>
      </w:r>
    </w:p>
    <w:p w14:paraId="4CFD7A48" w14:textId="77777777" w:rsidR="001639DC" w:rsidRDefault="00C83994">
      <w:pPr>
        <w:numPr>
          <w:ilvl w:val="1"/>
          <w:numId w:val="2"/>
        </w:numPr>
        <w:spacing w:after="120" w:line="276" w:lineRule="auto"/>
        <w:ind w:left="284" w:hanging="284"/>
      </w:pPr>
      <w:r>
        <w:t>Pro případ kontradikce se jako závazná použijí prioritně příslušná ustanovení této Smlouvy a následně příslušná ustanovení jednotlivých příloh, a to dle výše uvedeného pořadí.</w:t>
      </w:r>
    </w:p>
    <w:p w14:paraId="3348F9E5" w14:textId="77777777" w:rsidR="001639DC" w:rsidRDefault="00C83994">
      <w:pPr>
        <w:numPr>
          <w:ilvl w:val="1"/>
          <w:numId w:val="2"/>
        </w:numPr>
        <w:spacing w:after="120" w:line="276" w:lineRule="auto"/>
        <w:ind w:left="284" w:hanging="284"/>
      </w:pPr>
      <w:r>
        <w:t>Tato Smlouva se uzavírá písemně v elektronické podobě. Tato Smlouva je podepsána elektronickým podpisem dle zákona č. 297/2016 Sb., o službách vytvářejících důvěru pro elektronické transakce, ve znění pozdějších předpisů (dále jen „</w:t>
      </w:r>
      <w:r>
        <w:rPr>
          <w:b/>
        </w:rPr>
        <w:t>ZSVD</w:t>
      </w:r>
      <w:r>
        <w:t xml:space="preserve">“). Smluvní strany se dohodly, že Poskytovatel podepíše tuto Smlouvu uznávaným elektronickým podpisem ve smyslu § 6 odst. 2 ZSVD; Objednatel tuto Smlouvu podepíše v souladu s § 5 ZSVD kvalifikovaným elektronickým podpisem. </w:t>
      </w:r>
    </w:p>
    <w:p w14:paraId="11A78296" w14:textId="77777777" w:rsidR="001639DC" w:rsidRDefault="00C83994">
      <w:pPr>
        <w:numPr>
          <w:ilvl w:val="1"/>
          <w:numId w:val="2"/>
        </w:numPr>
        <w:spacing w:after="120" w:line="276" w:lineRule="auto"/>
        <w:ind w:left="284" w:hanging="284"/>
      </w:pPr>
      <w:r>
        <w:t>Smluvní strany si před podpisem tuto Smlouvu řádně přečetly a svůj souhlas s obsahem a autentičností jednotlivých ustanovení této Smlouvy včetně jejích příloh stvrzují svým podpisem.</w:t>
      </w:r>
    </w:p>
    <w:p w14:paraId="62497767" w14:textId="77777777" w:rsidR="001639DC" w:rsidRDefault="001639DC">
      <w:pPr>
        <w:spacing w:after="120" w:line="276" w:lineRule="auto"/>
        <w:rPr>
          <w:color w:val="000000"/>
        </w:rPr>
      </w:pPr>
    </w:p>
    <w:p w14:paraId="37768C20" w14:textId="77777777" w:rsidR="001639DC" w:rsidRDefault="001639DC">
      <w:pPr>
        <w:spacing w:after="120" w:line="276" w:lineRule="auto"/>
        <w:rPr>
          <w:color w:val="000000"/>
        </w:rPr>
      </w:pPr>
    </w:p>
    <w:p w14:paraId="59EA7C11" w14:textId="77777777" w:rsidR="001639DC" w:rsidRDefault="00C83994">
      <w:pPr>
        <w:spacing w:after="120" w:line="276" w:lineRule="auto"/>
        <w:rPr>
          <w:color w:val="000000"/>
        </w:rPr>
      </w:pPr>
      <w:r>
        <w:rPr>
          <w:color w:val="000000"/>
        </w:rPr>
        <w:t>Všeobecná zdravotní pojišťovna</w:t>
      </w:r>
      <w:r>
        <w:rPr>
          <w:color w:val="000000"/>
        </w:rPr>
        <w:tab/>
      </w:r>
      <w:r>
        <w:rPr>
          <w:color w:val="000000"/>
        </w:rPr>
        <w:tab/>
      </w:r>
      <w:r>
        <w:rPr>
          <w:color w:val="000000"/>
        </w:rPr>
        <w:tab/>
      </w:r>
      <w:r>
        <w:rPr>
          <w:color w:val="000000"/>
        </w:rPr>
        <w:tab/>
        <w:t>SG Solutions s.r.o.</w:t>
      </w:r>
    </w:p>
    <w:p w14:paraId="13A68D38" w14:textId="77777777" w:rsidR="001639DC" w:rsidRDefault="00C83994">
      <w:pPr>
        <w:spacing w:after="120" w:line="276" w:lineRule="auto"/>
        <w:rPr>
          <w:color w:val="000000"/>
        </w:rPr>
      </w:pPr>
      <w:r>
        <w:rPr>
          <w:color w:val="000000"/>
        </w:rPr>
        <w:t>České republiky</w:t>
      </w:r>
    </w:p>
    <w:p w14:paraId="7784462D" w14:textId="77777777" w:rsidR="001639DC" w:rsidRDefault="001639DC">
      <w:pPr>
        <w:spacing w:after="120" w:line="276" w:lineRule="auto"/>
        <w:rPr>
          <w:color w:val="000000"/>
        </w:rPr>
      </w:pPr>
    </w:p>
    <w:p w14:paraId="28852C54" w14:textId="77777777" w:rsidR="001639DC" w:rsidRDefault="00C83994">
      <w:pPr>
        <w:spacing w:after="120" w:line="276" w:lineRule="auto"/>
        <w:rPr>
          <w:color w:val="000000"/>
        </w:rPr>
      </w:pPr>
      <w:bookmarkStart w:id="19" w:name="_heading=h.3j2qqm3" w:colFirst="0" w:colLast="0"/>
      <w:bookmarkEnd w:id="19"/>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t>podepsáno elektronicky</w:t>
      </w:r>
    </w:p>
    <w:p w14:paraId="18024F49" w14:textId="77777777" w:rsidR="001639DC" w:rsidRDefault="001639DC">
      <w:pPr>
        <w:spacing w:after="120" w:line="276" w:lineRule="auto"/>
        <w:rPr>
          <w:color w:val="000000"/>
        </w:rPr>
      </w:pPr>
    </w:p>
    <w:p w14:paraId="2BA862E9" w14:textId="77777777" w:rsidR="001639DC" w:rsidRDefault="00C83994">
      <w:pPr>
        <w:spacing w:after="120" w:line="276" w:lineRule="auto"/>
        <w:rPr>
          <w:color w:val="000000"/>
        </w:rPr>
      </w:pPr>
      <w:r>
        <w:rPr>
          <w:color w:val="000000"/>
        </w:rPr>
        <w:t>Ing. Zdeněk Kabátek</w:t>
      </w:r>
      <w:r>
        <w:rPr>
          <w:color w:val="000000"/>
        </w:rPr>
        <w:tab/>
      </w:r>
      <w:r>
        <w:rPr>
          <w:color w:val="000000"/>
        </w:rPr>
        <w:tab/>
      </w:r>
      <w:r>
        <w:rPr>
          <w:color w:val="000000"/>
        </w:rPr>
        <w:tab/>
      </w:r>
      <w:r>
        <w:rPr>
          <w:color w:val="000000"/>
        </w:rPr>
        <w:tab/>
      </w:r>
      <w:r>
        <w:rPr>
          <w:color w:val="000000"/>
        </w:rPr>
        <w:tab/>
      </w:r>
      <w:r>
        <w:rPr>
          <w:color w:val="000000"/>
        </w:rPr>
        <w:tab/>
        <w:t>Ing. Jindřich Kasal</w:t>
      </w:r>
    </w:p>
    <w:p w14:paraId="75E751BE" w14:textId="77777777" w:rsidR="001639DC" w:rsidRDefault="00C83994">
      <w:pPr>
        <w:spacing w:after="120" w:line="276" w:lineRule="auto"/>
        <w:rPr>
          <w:color w:val="000000"/>
        </w:rPr>
      </w:pPr>
      <w:r>
        <w:rPr>
          <w:color w:val="000000"/>
        </w:rPr>
        <w:t>ředitel VZP ČR</w:t>
      </w:r>
      <w:r>
        <w:rPr>
          <w:color w:val="000000"/>
        </w:rPr>
        <w:tab/>
      </w:r>
      <w:r>
        <w:rPr>
          <w:color w:val="000000"/>
        </w:rPr>
        <w:tab/>
      </w:r>
      <w:r>
        <w:rPr>
          <w:color w:val="000000"/>
        </w:rPr>
        <w:tab/>
      </w:r>
      <w:r>
        <w:rPr>
          <w:color w:val="000000"/>
        </w:rPr>
        <w:tab/>
      </w:r>
      <w:r>
        <w:rPr>
          <w:color w:val="000000"/>
        </w:rPr>
        <w:tab/>
      </w:r>
      <w:r>
        <w:rPr>
          <w:color w:val="000000"/>
        </w:rPr>
        <w:tab/>
      </w:r>
      <w:r>
        <w:rPr>
          <w:color w:val="000000"/>
        </w:rPr>
        <w:tab/>
        <w:t>jednatel</w:t>
      </w:r>
    </w:p>
    <w:p w14:paraId="4637E2B4" w14:textId="77777777" w:rsidR="001639DC" w:rsidRDefault="00C83994">
      <w:pPr>
        <w:spacing w:after="120" w:line="276" w:lineRule="auto"/>
        <w:rPr>
          <w:color w:val="000000"/>
        </w:rPr>
      </w:pPr>
      <w:r>
        <w:br w:type="page"/>
      </w:r>
    </w:p>
    <w:p w14:paraId="6900F6D1" w14:textId="77777777" w:rsidR="001639DC" w:rsidRDefault="00C83994">
      <w:pPr>
        <w:pBdr>
          <w:top w:val="single" w:sz="4" w:space="2" w:color="000000"/>
          <w:left w:val="single" w:sz="4" w:space="4" w:color="000000"/>
          <w:bottom w:val="single" w:sz="4" w:space="2" w:color="000000"/>
          <w:right w:val="single" w:sz="4" w:space="4" w:color="000000"/>
        </w:pBdr>
        <w:shd w:val="clear" w:color="auto" w:fill="D9D9D9"/>
        <w:jc w:val="left"/>
        <w:rPr>
          <w:b/>
          <w:sz w:val="24"/>
        </w:rPr>
      </w:pPr>
      <w:r>
        <w:rPr>
          <w:b/>
          <w:smallCaps/>
        </w:rPr>
        <w:lastRenderedPageBreak/>
        <w:t xml:space="preserve">PŘÍLOHA Č. 1 – SEZNAM SW PRODUKTŮ </w:t>
      </w:r>
    </w:p>
    <w:p w14:paraId="6509B18D" w14:textId="77777777" w:rsidR="001639DC" w:rsidRDefault="001639DC">
      <w:pPr>
        <w:pBdr>
          <w:top w:val="nil"/>
          <w:left w:val="nil"/>
          <w:bottom w:val="nil"/>
          <w:right w:val="nil"/>
          <w:between w:val="nil"/>
        </w:pBdr>
        <w:spacing w:line="276" w:lineRule="auto"/>
        <w:ind w:left="786"/>
        <w:rPr>
          <w:rFonts w:eastAsia="Arial" w:cs="Arial"/>
          <w:color w:val="000000"/>
          <w:sz w:val="28"/>
          <w:szCs w:val="28"/>
        </w:rPr>
      </w:pPr>
    </w:p>
    <w:p w14:paraId="3FED5134" w14:textId="77777777" w:rsidR="001639DC" w:rsidRDefault="00C83994">
      <w:pPr>
        <w:pBdr>
          <w:top w:val="nil"/>
          <w:left w:val="nil"/>
          <w:bottom w:val="nil"/>
          <w:right w:val="nil"/>
          <w:between w:val="nil"/>
        </w:pBdr>
        <w:rPr>
          <w:rFonts w:eastAsia="Arial" w:cs="Arial"/>
          <w:color w:val="000000"/>
          <w:szCs w:val="20"/>
        </w:rPr>
      </w:pPr>
      <w:r>
        <w:rPr>
          <w:rFonts w:eastAsia="Arial" w:cs="Arial"/>
          <w:color w:val="000000"/>
          <w:szCs w:val="20"/>
        </w:rPr>
        <w:t xml:space="preserve">Tabulka produktů SW systému Centrálního monitoringu na období </w:t>
      </w:r>
      <w:r>
        <w:rPr>
          <w:rFonts w:eastAsia="Arial" w:cs="Arial"/>
          <w:b/>
          <w:color w:val="000000"/>
          <w:szCs w:val="20"/>
          <w:u w:val="single"/>
        </w:rPr>
        <w:t>36 kalendářních měsíců</w:t>
      </w:r>
      <w:r>
        <w:rPr>
          <w:rFonts w:eastAsia="Arial" w:cs="Arial"/>
          <w:color w:val="000000"/>
          <w:szCs w:val="20"/>
        </w:rPr>
        <w:t>:</w:t>
      </w:r>
    </w:p>
    <w:p w14:paraId="0E510FB6" w14:textId="77777777" w:rsidR="001639DC" w:rsidRDefault="00C83994">
      <w:pPr>
        <w:pBdr>
          <w:top w:val="nil"/>
          <w:left w:val="nil"/>
          <w:bottom w:val="nil"/>
          <w:right w:val="nil"/>
          <w:between w:val="nil"/>
        </w:pBdr>
        <w:rPr>
          <w:rFonts w:eastAsia="Arial" w:cs="Arial"/>
          <w:color w:val="000000"/>
          <w:szCs w:val="20"/>
        </w:rPr>
      </w:pPr>
      <w:r>
        <w:rPr>
          <w:rFonts w:eastAsia="Arial" w:cs="Arial"/>
          <w:color w:val="000000"/>
          <w:szCs w:val="20"/>
        </w:rPr>
        <w:t>Popis produktu a požadovaný počet jednotek (licencí):</w:t>
      </w:r>
    </w:p>
    <w:p w14:paraId="56D46819" w14:textId="77777777" w:rsidR="001639DC" w:rsidRDefault="001639DC">
      <w:pPr>
        <w:pBdr>
          <w:top w:val="nil"/>
          <w:left w:val="nil"/>
          <w:bottom w:val="nil"/>
          <w:right w:val="nil"/>
          <w:between w:val="nil"/>
        </w:pBdr>
        <w:rPr>
          <w:rFonts w:ascii="Times New Roman" w:hAnsi="Times New Roman"/>
          <w:color w:val="000000"/>
          <w:sz w:val="24"/>
        </w:rPr>
      </w:pPr>
    </w:p>
    <w:tbl>
      <w:tblPr>
        <w:tblStyle w:val="a3"/>
        <w:tblW w:w="905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1478"/>
        <w:gridCol w:w="3905"/>
        <w:gridCol w:w="1296"/>
        <w:gridCol w:w="2371"/>
      </w:tblGrid>
      <w:tr w:rsidR="001639DC" w14:paraId="2F1C6F57" w14:textId="77777777">
        <w:trPr>
          <w:trHeight w:val="453"/>
          <w:jc w:val="center"/>
        </w:trPr>
        <w:tc>
          <w:tcPr>
            <w:tcW w:w="1478" w:type="dxa"/>
            <w:tcBorders>
              <w:top w:val="single" w:sz="8" w:space="0" w:color="000000"/>
              <w:bottom w:val="single" w:sz="6" w:space="0" w:color="000000"/>
            </w:tcBorders>
            <w:tcMar>
              <w:top w:w="0" w:type="dxa"/>
              <w:left w:w="108" w:type="dxa"/>
              <w:bottom w:w="0" w:type="dxa"/>
              <w:right w:w="108" w:type="dxa"/>
            </w:tcMar>
            <w:vAlign w:val="center"/>
          </w:tcPr>
          <w:p w14:paraId="2DAA5CA7" w14:textId="77777777" w:rsidR="001639DC" w:rsidRDefault="00C83994">
            <w:pPr>
              <w:jc w:val="center"/>
              <w:rPr>
                <w:b/>
                <w:sz w:val="16"/>
                <w:szCs w:val="16"/>
              </w:rPr>
            </w:pPr>
            <w:r>
              <w:rPr>
                <w:b/>
                <w:sz w:val="16"/>
                <w:szCs w:val="16"/>
              </w:rPr>
              <w:t>Product No</w:t>
            </w:r>
          </w:p>
        </w:tc>
        <w:tc>
          <w:tcPr>
            <w:tcW w:w="3905" w:type="dxa"/>
            <w:tcBorders>
              <w:top w:val="single" w:sz="8" w:space="0" w:color="000000"/>
              <w:bottom w:val="single" w:sz="6" w:space="0" w:color="000000"/>
            </w:tcBorders>
            <w:tcMar>
              <w:top w:w="0" w:type="dxa"/>
              <w:left w:w="108" w:type="dxa"/>
              <w:bottom w:w="0" w:type="dxa"/>
              <w:right w:w="108" w:type="dxa"/>
            </w:tcMar>
            <w:vAlign w:val="center"/>
          </w:tcPr>
          <w:p w14:paraId="7BB136C6" w14:textId="77777777" w:rsidR="001639DC" w:rsidRDefault="00C83994">
            <w:pPr>
              <w:jc w:val="center"/>
              <w:rPr>
                <w:b/>
                <w:sz w:val="16"/>
                <w:szCs w:val="16"/>
              </w:rPr>
            </w:pPr>
            <w:r>
              <w:rPr>
                <w:b/>
                <w:sz w:val="16"/>
                <w:szCs w:val="16"/>
              </w:rPr>
              <w:t>POPIS PRODUKTU</w:t>
            </w:r>
          </w:p>
        </w:tc>
        <w:tc>
          <w:tcPr>
            <w:tcW w:w="1296" w:type="dxa"/>
            <w:tcBorders>
              <w:top w:val="single" w:sz="8" w:space="0" w:color="000000"/>
              <w:bottom w:val="single" w:sz="6" w:space="0" w:color="000000"/>
            </w:tcBorders>
            <w:tcMar>
              <w:top w:w="0" w:type="dxa"/>
              <w:left w:w="108" w:type="dxa"/>
              <w:bottom w:w="0" w:type="dxa"/>
              <w:right w:w="108" w:type="dxa"/>
            </w:tcMar>
            <w:vAlign w:val="center"/>
          </w:tcPr>
          <w:p w14:paraId="588F4E67" w14:textId="77777777" w:rsidR="001639DC" w:rsidRDefault="00C83994">
            <w:pPr>
              <w:jc w:val="center"/>
              <w:rPr>
                <w:b/>
                <w:sz w:val="16"/>
                <w:szCs w:val="16"/>
              </w:rPr>
            </w:pPr>
            <w:r>
              <w:rPr>
                <w:b/>
                <w:sz w:val="16"/>
                <w:szCs w:val="16"/>
              </w:rPr>
              <w:t>Počet jednotek</w:t>
            </w:r>
          </w:p>
        </w:tc>
        <w:tc>
          <w:tcPr>
            <w:tcW w:w="2371" w:type="dxa"/>
            <w:tcBorders>
              <w:top w:val="single" w:sz="8" w:space="0" w:color="000000"/>
              <w:bottom w:val="single" w:sz="6" w:space="0" w:color="000000"/>
            </w:tcBorders>
            <w:tcMar>
              <w:top w:w="0" w:type="dxa"/>
              <w:left w:w="108" w:type="dxa"/>
              <w:bottom w:w="0" w:type="dxa"/>
              <w:right w:w="108" w:type="dxa"/>
            </w:tcMar>
            <w:vAlign w:val="center"/>
          </w:tcPr>
          <w:p w14:paraId="0CBFA4A8" w14:textId="77777777" w:rsidR="001639DC" w:rsidRDefault="00C83994">
            <w:pPr>
              <w:jc w:val="center"/>
              <w:rPr>
                <w:b/>
                <w:sz w:val="16"/>
                <w:szCs w:val="16"/>
              </w:rPr>
            </w:pPr>
            <w:r>
              <w:rPr>
                <w:b/>
                <w:sz w:val="16"/>
                <w:szCs w:val="16"/>
              </w:rPr>
              <w:t xml:space="preserve">Časové období </w:t>
            </w:r>
          </w:p>
        </w:tc>
      </w:tr>
      <w:tr w:rsidR="001639DC" w14:paraId="0F0F40D1" w14:textId="77777777">
        <w:trPr>
          <w:trHeight w:val="435"/>
          <w:jc w:val="center"/>
        </w:trPr>
        <w:tc>
          <w:tcPr>
            <w:tcW w:w="1478" w:type="dxa"/>
            <w:tcBorders>
              <w:top w:val="single" w:sz="6" w:space="0" w:color="000000"/>
            </w:tcBorders>
            <w:tcMar>
              <w:top w:w="0" w:type="dxa"/>
              <w:left w:w="108" w:type="dxa"/>
              <w:bottom w:w="0" w:type="dxa"/>
              <w:right w:w="108" w:type="dxa"/>
            </w:tcMar>
            <w:vAlign w:val="bottom"/>
          </w:tcPr>
          <w:p w14:paraId="70E819D2" w14:textId="77777777" w:rsidR="001639DC" w:rsidRDefault="00C83994">
            <w:pPr>
              <w:rPr>
                <w:sz w:val="16"/>
                <w:szCs w:val="16"/>
              </w:rPr>
            </w:pPr>
            <w:r>
              <w:rPr>
                <w:sz w:val="16"/>
                <w:szCs w:val="16"/>
              </w:rPr>
              <w:t>SP-AJ349</w:t>
            </w:r>
          </w:p>
        </w:tc>
        <w:tc>
          <w:tcPr>
            <w:tcW w:w="3905" w:type="dxa"/>
            <w:tcBorders>
              <w:top w:val="single" w:sz="6" w:space="0" w:color="000000"/>
            </w:tcBorders>
            <w:tcMar>
              <w:top w:w="0" w:type="dxa"/>
              <w:left w:w="108" w:type="dxa"/>
              <w:bottom w:w="0" w:type="dxa"/>
              <w:right w:w="108" w:type="dxa"/>
            </w:tcMar>
            <w:vAlign w:val="bottom"/>
          </w:tcPr>
          <w:p w14:paraId="1333767E" w14:textId="77777777" w:rsidR="001639DC" w:rsidRDefault="00C83994">
            <w:pPr>
              <w:rPr>
                <w:sz w:val="16"/>
                <w:szCs w:val="16"/>
              </w:rPr>
            </w:pPr>
            <w:r>
              <w:rPr>
                <w:sz w:val="16"/>
                <w:szCs w:val="16"/>
              </w:rPr>
              <w:t>Business Availability Center Business Process Monitor Transactions Unlimited Locations SW E-LTU</w:t>
            </w:r>
          </w:p>
        </w:tc>
        <w:tc>
          <w:tcPr>
            <w:tcW w:w="1296" w:type="dxa"/>
            <w:tcBorders>
              <w:top w:val="single" w:sz="6" w:space="0" w:color="000000"/>
            </w:tcBorders>
            <w:tcMar>
              <w:top w:w="0" w:type="dxa"/>
              <w:left w:w="108" w:type="dxa"/>
              <w:bottom w:w="0" w:type="dxa"/>
              <w:right w:w="108" w:type="dxa"/>
            </w:tcMar>
            <w:vAlign w:val="bottom"/>
          </w:tcPr>
          <w:p w14:paraId="38557426" w14:textId="77777777" w:rsidR="001639DC" w:rsidRDefault="00C83994">
            <w:pPr>
              <w:jc w:val="center"/>
              <w:rPr>
                <w:sz w:val="16"/>
                <w:szCs w:val="16"/>
              </w:rPr>
            </w:pPr>
            <w:r>
              <w:rPr>
                <w:sz w:val="16"/>
                <w:szCs w:val="16"/>
              </w:rPr>
              <w:t>20</w:t>
            </w:r>
          </w:p>
        </w:tc>
        <w:tc>
          <w:tcPr>
            <w:tcW w:w="2371" w:type="dxa"/>
            <w:tcBorders>
              <w:top w:val="single" w:sz="6" w:space="0" w:color="000000"/>
            </w:tcBorders>
            <w:tcMar>
              <w:top w:w="0" w:type="dxa"/>
              <w:left w:w="28" w:type="dxa"/>
              <w:bottom w:w="0" w:type="dxa"/>
              <w:right w:w="28" w:type="dxa"/>
            </w:tcMar>
            <w:vAlign w:val="bottom"/>
          </w:tcPr>
          <w:p w14:paraId="4155AE5F" w14:textId="77777777" w:rsidR="001639DC" w:rsidRDefault="00C83994">
            <w:pPr>
              <w:jc w:val="center"/>
              <w:rPr>
                <w:sz w:val="16"/>
                <w:szCs w:val="16"/>
              </w:rPr>
            </w:pPr>
            <w:r>
              <w:rPr>
                <w:sz w:val="16"/>
                <w:szCs w:val="16"/>
              </w:rPr>
              <w:t>36 kalendářních měsíců</w:t>
            </w:r>
          </w:p>
        </w:tc>
      </w:tr>
      <w:tr w:rsidR="001639DC" w14:paraId="3C3F7CBC" w14:textId="77777777">
        <w:trPr>
          <w:trHeight w:val="435"/>
          <w:jc w:val="center"/>
        </w:trPr>
        <w:tc>
          <w:tcPr>
            <w:tcW w:w="1478" w:type="dxa"/>
            <w:tcMar>
              <w:top w:w="0" w:type="dxa"/>
              <w:left w:w="108" w:type="dxa"/>
              <w:bottom w:w="0" w:type="dxa"/>
              <w:right w:w="108" w:type="dxa"/>
            </w:tcMar>
            <w:vAlign w:val="bottom"/>
          </w:tcPr>
          <w:p w14:paraId="57363E48" w14:textId="77777777" w:rsidR="001639DC" w:rsidRDefault="00C83994">
            <w:pPr>
              <w:rPr>
                <w:sz w:val="16"/>
                <w:szCs w:val="16"/>
              </w:rPr>
            </w:pPr>
            <w:r>
              <w:rPr>
                <w:sz w:val="16"/>
                <w:szCs w:val="16"/>
              </w:rPr>
              <w:t>SP-AJ349</w:t>
            </w:r>
          </w:p>
        </w:tc>
        <w:tc>
          <w:tcPr>
            <w:tcW w:w="3905" w:type="dxa"/>
            <w:tcMar>
              <w:top w:w="0" w:type="dxa"/>
              <w:left w:w="108" w:type="dxa"/>
              <w:bottom w:w="0" w:type="dxa"/>
              <w:right w:w="108" w:type="dxa"/>
            </w:tcMar>
            <w:vAlign w:val="bottom"/>
          </w:tcPr>
          <w:p w14:paraId="57003E60" w14:textId="77777777" w:rsidR="001639DC" w:rsidRDefault="00C83994">
            <w:pPr>
              <w:rPr>
                <w:sz w:val="16"/>
                <w:szCs w:val="16"/>
              </w:rPr>
            </w:pPr>
            <w:r>
              <w:rPr>
                <w:sz w:val="16"/>
                <w:szCs w:val="16"/>
              </w:rPr>
              <w:t>Business Availability Center Business Process Monitor Transactions Unlimited Locations SW E-LTU</w:t>
            </w:r>
          </w:p>
        </w:tc>
        <w:tc>
          <w:tcPr>
            <w:tcW w:w="1296" w:type="dxa"/>
            <w:tcMar>
              <w:top w:w="0" w:type="dxa"/>
              <w:left w:w="108" w:type="dxa"/>
              <w:bottom w:w="0" w:type="dxa"/>
              <w:right w:w="108" w:type="dxa"/>
            </w:tcMar>
            <w:vAlign w:val="bottom"/>
          </w:tcPr>
          <w:p w14:paraId="3F65CA22" w14:textId="77777777" w:rsidR="001639DC" w:rsidRDefault="00C83994">
            <w:pPr>
              <w:jc w:val="center"/>
              <w:rPr>
                <w:sz w:val="16"/>
                <w:szCs w:val="16"/>
              </w:rPr>
            </w:pPr>
            <w:r>
              <w:rPr>
                <w:sz w:val="16"/>
                <w:szCs w:val="16"/>
              </w:rPr>
              <w:t>70</w:t>
            </w:r>
          </w:p>
        </w:tc>
        <w:tc>
          <w:tcPr>
            <w:tcW w:w="2371" w:type="dxa"/>
            <w:tcMar>
              <w:top w:w="0" w:type="dxa"/>
              <w:left w:w="28" w:type="dxa"/>
              <w:bottom w:w="0" w:type="dxa"/>
              <w:right w:w="28" w:type="dxa"/>
            </w:tcMar>
            <w:vAlign w:val="bottom"/>
          </w:tcPr>
          <w:p w14:paraId="3F084B59" w14:textId="77777777" w:rsidR="001639DC" w:rsidRDefault="00C83994">
            <w:pPr>
              <w:jc w:val="center"/>
              <w:rPr>
                <w:sz w:val="16"/>
                <w:szCs w:val="16"/>
              </w:rPr>
            </w:pPr>
            <w:r>
              <w:rPr>
                <w:sz w:val="16"/>
                <w:szCs w:val="16"/>
              </w:rPr>
              <w:t>36 kalendářních měsíců</w:t>
            </w:r>
          </w:p>
        </w:tc>
      </w:tr>
      <w:tr w:rsidR="001639DC" w14:paraId="25EF7ECF" w14:textId="77777777">
        <w:trPr>
          <w:trHeight w:val="453"/>
          <w:jc w:val="center"/>
        </w:trPr>
        <w:tc>
          <w:tcPr>
            <w:tcW w:w="1478" w:type="dxa"/>
            <w:tcMar>
              <w:top w:w="0" w:type="dxa"/>
              <w:left w:w="108" w:type="dxa"/>
              <w:bottom w:w="0" w:type="dxa"/>
              <w:right w:w="108" w:type="dxa"/>
            </w:tcMar>
            <w:vAlign w:val="bottom"/>
          </w:tcPr>
          <w:p w14:paraId="6AA1053F" w14:textId="77777777" w:rsidR="001639DC" w:rsidRDefault="00C83994">
            <w:pPr>
              <w:rPr>
                <w:sz w:val="16"/>
                <w:szCs w:val="16"/>
              </w:rPr>
            </w:pPr>
            <w:r>
              <w:rPr>
                <w:sz w:val="16"/>
                <w:szCs w:val="16"/>
              </w:rPr>
              <w:t>SP-AK419</w:t>
            </w:r>
          </w:p>
        </w:tc>
        <w:tc>
          <w:tcPr>
            <w:tcW w:w="3905" w:type="dxa"/>
            <w:tcMar>
              <w:top w:w="0" w:type="dxa"/>
              <w:left w:w="108" w:type="dxa"/>
              <w:bottom w:w="0" w:type="dxa"/>
              <w:right w:w="108" w:type="dxa"/>
            </w:tcMar>
            <w:vAlign w:val="bottom"/>
          </w:tcPr>
          <w:p w14:paraId="3E5330A2" w14:textId="77777777" w:rsidR="001639DC" w:rsidRDefault="00C83994">
            <w:pPr>
              <w:rPr>
                <w:sz w:val="16"/>
                <w:szCs w:val="16"/>
              </w:rPr>
            </w:pPr>
            <w:r>
              <w:rPr>
                <w:sz w:val="16"/>
                <w:szCs w:val="16"/>
              </w:rPr>
              <w:t>SiteScope per Point SW E-LTU</w:t>
            </w:r>
          </w:p>
        </w:tc>
        <w:tc>
          <w:tcPr>
            <w:tcW w:w="1296" w:type="dxa"/>
            <w:tcMar>
              <w:top w:w="0" w:type="dxa"/>
              <w:left w:w="108" w:type="dxa"/>
              <w:bottom w:w="0" w:type="dxa"/>
              <w:right w:w="108" w:type="dxa"/>
            </w:tcMar>
            <w:vAlign w:val="bottom"/>
          </w:tcPr>
          <w:p w14:paraId="187D7C2A" w14:textId="77777777" w:rsidR="001639DC" w:rsidRDefault="00C83994">
            <w:pPr>
              <w:jc w:val="center"/>
              <w:rPr>
                <w:sz w:val="16"/>
                <w:szCs w:val="16"/>
              </w:rPr>
            </w:pPr>
            <w:r>
              <w:rPr>
                <w:sz w:val="16"/>
                <w:szCs w:val="16"/>
              </w:rPr>
              <w:t>200</w:t>
            </w:r>
          </w:p>
        </w:tc>
        <w:tc>
          <w:tcPr>
            <w:tcW w:w="2371" w:type="dxa"/>
            <w:tcMar>
              <w:top w:w="0" w:type="dxa"/>
              <w:left w:w="28" w:type="dxa"/>
              <w:bottom w:w="0" w:type="dxa"/>
              <w:right w:w="28" w:type="dxa"/>
            </w:tcMar>
            <w:vAlign w:val="bottom"/>
          </w:tcPr>
          <w:p w14:paraId="21110B69" w14:textId="77777777" w:rsidR="001639DC" w:rsidRDefault="00C83994">
            <w:pPr>
              <w:jc w:val="center"/>
              <w:rPr>
                <w:sz w:val="16"/>
                <w:szCs w:val="16"/>
              </w:rPr>
            </w:pPr>
            <w:r>
              <w:rPr>
                <w:sz w:val="16"/>
                <w:szCs w:val="16"/>
              </w:rPr>
              <w:t>36 kalendářních měsíců</w:t>
            </w:r>
          </w:p>
        </w:tc>
      </w:tr>
      <w:tr w:rsidR="001639DC" w14:paraId="64E2FFE2" w14:textId="77777777">
        <w:trPr>
          <w:trHeight w:val="453"/>
          <w:jc w:val="center"/>
        </w:trPr>
        <w:tc>
          <w:tcPr>
            <w:tcW w:w="1478" w:type="dxa"/>
            <w:tcMar>
              <w:top w:w="0" w:type="dxa"/>
              <w:left w:w="108" w:type="dxa"/>
              <w:bottom w:w="0" w:type="dxa"/>
              <w:right w:w="108" w:type="dxa"/>
            </w:tcMar>
            <w:vAlign w:val="bottom"/>
          </w:tcPr>
          <w:p w14:paraId="6FE07F7F" w14:textId="77777777" w:rsidR="001639DC" w:rsidRDefault="00C83994">
            <w:pPr>
              <w:rPr>
                <w:sz w:val="16"/>
                <w:szCs w:val="16"/>
              </w:rPr>
            </w:pPr>
            <w:r>
              <w:rPr>
                <w:sz w:val="16"/>
                <w:szCs w:val="16"/>
              </w:rPr>
              <w:t>SP-AJ998</w:t>
            </w:r>
          </w:p>
        </w:tc>
        <w:tc>
          <w:tcPr>
            <w:tcW w:w="3905" w:type="dxa"/>
            <w:tcMar>
              <w:top w:w="0" w:type="dxa"/>
              <w:left w:w="108" w:type="dxa"/>
              <w:bottom w:w="0" w:type="dxa"/>
              <w:right w:w="108" w:type="dxa"/>
            </w:tcMar>
            <w:vAlign w:val="bottom"/>
          </w:tcPr>
          <w:p w14:paraId="1288231A" w14:textId="77777777" w:rsidR="001639DC" w:rsidRDefault="00C83994">
            <w:pPr>
              <w:rPr>
                <w:sz w:val="16"/>
                <w:szCs w:val="16"/>
              </w:rPr>
            </w:pPr>
            <w:r>
              <w:rPr>
                <w:sz w:val="16"/>
                <w:szCs w:val="16"/>
              </w:rPr>
              <w:t>Network Node Manager i Premium Edition per pack of 50 Nodes SW E-LTU</w:t>
            </w:r>
          </w:p>
        </w:tc>
        <w:tc>
          <w:tcPr>
            <w:tcW w:w="1296" w:type="dxa"/>
            <w:tcMar>
              <w:top w:w="0" w:type="dxa"/>
              <w:left w:w="108" w:type="dxa"/>
              <w:bottom w:w="0" w:type="dxa"/>
              <w:right w:w="108" w:type="dxa"/>
            </w:tcMar>
            <w:vAlign w:val="bottom"/>
          </w:tcPr>
          <w:p w14:paraId="0BB74895" w14:textId="77777777" w:rsidR="001639DC" w:rsidRDefault="00C83994">
            <w:pPr>
              <w:jc w:val="center"/>
              <w:rPr>
                <w:sz w:val="16"/>
                <w:szCs w:val="16"/>
              </w:rPr>
            </w:pPr>
            <w:r>
              <w:rPr>
                <w:sz w:val="16"/>
                <w:szCs w:val="16"/>
              </w:rPr>
              <w:t>20</w:t>
            </w:r>
          </w:p>
        </w:tc>
        <w:tc>
          <w:tcPr>
            <w:tcW w:w="2371" w:type="dxa"/>
            <w:tcMar>
              <w:top w:w="0" w:type="dxa"/>
              <w:left w:w="28" w:type="dxa"/>
              <w:bottom w:w="0" w:type="dxa"/>
              <w:right w:w="28" w:type="dxa"/>
            </w:tcMar>
            <w:vAlign w:val="bottom"/>
          </w:tcPr>
          <w:p w14:paraId="11682F15" w14:textId="77777777" w:rsidR="001639DC" w:rsidRDefault="00C83994">
            <w:pPr>
              <w:jc w:val="center"/>
              <w:rPr>
                <w:sz w:val="16"/>
                <w:szCs w:val="16"/>
              </w:rPr>
            </w:pPr>
            <w:r>
              <w:rPr>
                <w:sz w:val="16"/>
                <w:szCs w:val="16"/>
              </w:rPr>
              <w:t>36 kalendářních měsíců</w:t>
            </w:r>
          </w:p>
        </w:tc>
      </w:tr>
      <w:tr w:rsidR="001639DC" w14:paraId="55ECA710" w14:textId="77777777">
        <w:trPr>
          <w:trHeight w:val="453"/>
          <w:jc w:val="center"/>
        </w:trPr>
        <w:tc>
          <w:tcPr>
            <w:tcW w:w="1478" w:type="dxa"/>
            <w:tcMar>
              <w:top w:w="0" w:type="dxa"/>
              <w:left w:w="108" w:type="dxa"/>
              <w:bottom w:w="0" w:type="dxa"/>
              <w:right w:w="108" w:type="dxa"/>
            </w:tcMar>
            <w:vAlign w:val="bottom"/>
          </w:tcPr>
          <w:p w14:paraId="737F7756" w14:textId="77777777" w:rsidR="001639DC" w:rsidRDefault="00C83994">
            <w:pPr>
              <w:rPr>
                <w:sz w:val="16"/>
                <w:szCs w:val="16"/>
              </w:rPr>
            </w:pPr>
            <w:r>
              <w:rPr>
                <w:sz w:val="16"/>
                <w:szCs w:val="16"/>
              </w:rPr>
              <w:t>SP-AJ371</w:t>
            </w:r>
          </w:p>
        </w:tc>
        <w:tc>
          <w:tcPr>
            <w:tcW w:w="3905" w:type="dxa"/>
            <w:tcMar>
              <w:top w:w="0" w:type="dxa"/>
              <w:left w:w="108" w:type="dxa"/>
              <w:bottom w:w="0" w:type="dxa"/>
              <w:right w:w="108" w:type="dxa"/>
            </w:tcMar>
            <w:vAlign w:val="bottom"/>
          </w:tcPr>
          <w:p w14:paraId="7C121034" w14:textId="77777777" w:rsidR="001639DC" w:rsidRDefault="00C83994">
            <w:pPr>
              <w:rPr>
                <w:sz w:val="16"/>
                <w:szCs w:val="16"/>
              </w:rPr>
            </w:pPr>
            <w:r>
              <w:rPr>
                <w:sz w:val="16"/>
                <w:szCs w:val="16"/>
              </w:rPr>
              <w:t>Business Availability Center Systems Availability Management per Point SW E-LTU</w:t>
            </w:r>
          </w:p>
        </w:tc>
        <w:tc>
          <w:tcPr>
            <w:tcW w:w="1296" w:type="dxa"/>
            <w:tcMar>
              <w:top w:w="0" w:type="dxa"/>
              <w:left w:w="108" w:type="dxa"/>
              <w:bottom w:w="0" w:type="dxa"/>
              <w:right w:w="108" w:type="dxa"/>
            </w:tcMar>
            <w:vAlign w:val="bottom"/>
          </w:tcPr>
          <w:p w14:paraId="5C04A5BB" w14:textId="77777777" w:rsidR="001639DC" w:rsidRDefault="00C83994">
            <w:pPr>
              <w:jc w:val="center"/>
              <w:rPr>
                <w:sz w:val="16"/>
                <w:szCs w:val="16"/>
              </w:rPr>
            </w:pPr>
            <w:r>
              <w:rPr>
                <w:sz w:val="16"/>
                <w:szCs w:val="16"/>
              </w:rPr>
              <w:t>200</w:t>
            </w:r>
          </w:p>
        </w:tc>
        <w:tc>
          <w:tcPr>
            <w:tcW w:w="2371" w:type="dxa"/>
            <w:tcMar>
              <w:top w:w="0" w:type="dxa"/>
              <w:left w:w="28" w:type="dxa"/>
              <w:bottom w:w="0" w:type="dxa"/>
              <w:right w:w="28" w:type="dxa"/>
            </w:tcMar>
            <w:vAlign w:val="bottom"/>
          </w:tcPr>
          <w:p w14:paraId="3956E71A" w14:textId="77777777" w:rsidR="001639DC" w:rsidRDefault="00C83994">
            <w:pPr>
              <w:jc w:val="center"/>
              <w:rPr>
                <w:sz w:val="16"/>
                <w:szCs w:val="16"/>
              </w:rPr>
            </w:pPr>
            <w:r>
              <w:rPr>
                <w:sz w:val="16"/>
                <w:szCs w:val="16"/>
              </w:rPr>
              <w:t>36 kalendářních měsíců</w:t>
            </w:r>
          </w:p>
        </w:tc>
      </w:tr>
      <w:tr w:rsidR="001639DC" w14:paraId="3083AD43" w14:textId="77777777">
        <w:trPr>
          <w:trHeight w:val="453"/>
          <w:jc w:val="center"/>
        </w:trPr>
        <w:tc>
          <w:tcPr>
            <w:tcW w:w="1478" w:type="dxa"/>
            <w:tcMar>
              <w:top w:w="0" w:type="dxa"/>
              <w:left w:w="108" w:type="dxa"/>
              <w:bottom w:w="0" w:type="dxa"/>
              <w:right w:w="108" w:type="dxa"/>
            </w:tcMar>
            <w:vAlign w:val="bottom"/>
          </w:tcPr>
          <w:p w14:paraId="72D1E9C0" w14:textId="77777777" w:rsidR="001639DC" w:rsidRDefault="00C83994">
            <w:pPr>
              <w:rPr>
                <w:sz w:val="16"/>
                <w:szCs w:val="16"/>
              </w:rPr>
            </w:pPr>
            <w:r>
              <w:rPr>
                <w:sz w:val="16"/>
                <w:szCs w:val="16"/>
              </w:rPr>
              <w:t>SP-AJ371</w:t>
            </w:r>
          </w:p>
        </w:tc>
        <w:tc>
          <w:tcPr>
            <w:tcW w:w="3905" w:type="dxa"/>
            <w:tcMar>
              <w:top w:w="0" w:type="dxa"/>
              <w:left w:w="108" w:type="dxa"/>
              <w:bottom w:w="0" w:type="dxa"/>
              <w:right w:w="108" w:type="dxa"/>
            </w:tcMar>
            <w:vAlign w:val="bottom"/>
          </w:tcPr>
          <w:p w14:paraId="7A015BE3" w14:textId="77777777" w:rsidR="001639DC" w:rsidRDefault="00C83994">
            <w:pPr>
              <w:rPr>
                <w:sz w:val="16"/>
                <w:szCs w:val="16"/>
              </w:rPr>
            </w:pPr>
            <w:r>
              <w:rPr>
                <w:sz w:val="16"/>
                <w:szCs w:val="16"/>
              </w:rPr>
              <w:t>Business Availability Center Systems Availability Management per Point SW E-LTU</w:t>
            </w:r>
          </w:p>
        </w:tc>
        <w:tc>
          <w:tcPr>
            <w:tcW w:w="1296" w:type="dxa"/>
            <w:tcMar>
              <w:top w:w="0" w:type="dxa"/>
              <w:left w:w="108" w:type="dxa"/>
              <w:bottom w:w="0" w:type="dxa"/>
              <w:right w:w="108" w:type="dxa"/>
            </w:tcMar>
            <w:vAlign w:val="bottom"/>
          </w:tcPr>
          <w:p w14:paraId="212F1E76" w14:textId="77777777" w:rsidR="001639DC" w:rsidRDefault="00C83994">
            <w:pPr>
              <w:jc w:val="center"/>
              <w:rPr>
                <w:sz w:val="16"/>
                <w:szCs w:val="16"/>
              </w:rPr>
            </w:pPr>
            <w:r>
              <w:rPr>
                <w:sz w:val="16"/>
                <w:szCs w:val="16"/>
              </w:rPr>
              <w:t>100</w:t>
            </w:r>
          </w:p>
        </w:tc>
        <w:tc>
          <w:tcPr>
            <w:tcW w:w="2371" w:type="dxa"/>
            <w:tcMar>
              <w:top w:w="0" w:type="dxa"/>
              <w:left w:w="28" w:type="dxa"/>
              <w:bottom w:w="0" w:type="dxa"/>
              <w:right w:w="28" w:type="dxa"/>
            </w:tcMar>
            <w:vAlign w:val="bottom"/>
          </w:tcPr>
          <w:p w14:paraId="27B0463F" w14:textId="77777777" w:rsidR="001639DC" w:rsidRDefault="00C83994">
            <w:pPr>
              <w:jc w:val="center"/>
              <w:rPr>
                <w:sz w:val="16"/>
                <w:szCs w:val="16"/>
              </w:rPr>
            </w:pPr>
            <w:r>
              <w:rPr>
                <w:sz w:val="16"/>
                <w:szCs w:val="16"/>
              </w:rPr>
              <w:t>36 kalendářních měsíců</w:t>
            </w:r>
          </w:p>
        </w:tc>
      </w:tr>
      <w:tr w:rsidR="001639DC" w14:paraId="06449485" w14:textId="77777777">
        <w:trPr>
          <w:trHeight w:val="453"/>
          <w:jc w:val="center"/>
        </w:trPr>
        <w:tc>
          <w:tcPr>
            <w:tcW w:w="1478" w:type="dxa"/>
            <w:tcMar>
              <w:top w:w="0" w:type="dxa"/>
              <w:left w:w="108" w:type="dxa"/>
              <w:bottom w:w="0" w:type="dxa"/>
              <w:right w:w="108" w:type="dxa"/>
            </w:tcMar>
            <w:vAlign w:val="bottom"/>
          </w:tcPr>
          <w:p w14:paraId="469ABD07" w14:textId="77777777" w:rsidR="001639DC" w:rsidRDefault="00C83994">
            <w:pPr>
              <w:rPr>
                <w:sz w:val="16"/>
                <w:szCs w:val="16"/>
              </w:rPr>
            </w:pPr>
            <w:r>
              <w:rPr>
                <w:sz w:val="16"/>
                <w:szCs w:val="16"/>
              </w:rPr>
              <w:t>SP-AG837</w:t>
            </w:r>
          </w:p>
        </w:tc>
        <w:tc>
          <w:tcPr>
            <w:tcW w:w="3905" w:type="dxa"/>
            <w:tcMar>
              <w:top w:w="0" w:type="dxa"/>
              <w:left w:w="108" w:type="dxa"/>
              <w:bottom w:w="0" w:type="dxa"/>
              <w:right w:w="108" w:type="dxa"/>
            </w:tcMar>
            <w:vAlign w:val="bottom"/>
          </w:tcPr>
          <w:p w14:paraId="39529FA4" w14:textId="77777777" w:rsidR="001639DC" w:rsidRDefault="00C83994">
            <w:pPr>
              <w:rPr>
                <w:sz w:val="16"/>
                <w:szCs w:val="16"/>
              </w:rPr>
            </w:pPr>
            <w:r>
              <w:rPr>
                <w:sz w:val="16"/>
                <w:szCs w:val="16"/>
              </w:rPr>
              <w:t>Operations Bridge System Collector 1 OSI Add-On for Migration SW E-LTU</w:t>
            </w:r>
          </w:p>
        </w:tc>
        <w:tc>
          <w:tcPr>
            <w:tcW w:w="1296" w:type="dxa"/>
            <w:tcMar>
              <w:top w:w="0" w:type="dxa"/>
              <w:left w:w="108" w:type="dxa"/>
              <w:bottom w:w="0" w:type="dxa"/>
              <w:right w:w="108" w:type="dxa"/>
            </w:tcMar>
            <w:vAlign w:val="bottom"/>
          </w:tcPr>
          <w:p w14:paraId="31C33836" w14:textId="77777777" w:rsidR="001639DC" w:rsidRDefault="00C83994">
            <w:pPr>
              <w:jc w:val="center"/>
              <w:rPr>
                <w:sz w:val="16"/>
                <w:szCs w:val="16"/>
              </w:rPr>
            </w:pPr>
            <w:r>
              <w:rPr>
                <w:sz w:val="16"/>
                <w:szCs w:val="16"/>
              </w:rPr>
              <w:t>221</w:t>
            </w:r>
          </w:p>
        </w:tc>
        <w:tc>
          <w:tcPr>
            <w:tcW w:w="2371" w:type="dxa"/>
            <w:tcMar>
              <w:top w:w="0" w:type="dxa"/>
              <w:left w:w="28" w:type="dxa"/>
              <w:bottom w:w="0" w:type="dxa"/>
              <w:right w:w="28" w:type="dxa"/>
            </w:tcMar>
            <w:vAlign w:val="bottom"/>
          </w:tcPr>
          <w:p w14:paraId="29503D18" w14:textId="77777777" w:rsidR="001639DC" w:rsidRDefault="00C83994">
            <w:pPr>
              <w:jc w:val="center"/>
              <w:rPr>
                <w:sz w:val="16"/>
                <w:szCs w:val="16"/>
              </w:rPr>
            </w:pPr>
            <w:r>
              <w:rPr>
                <w:sz w:val="16"/>
                <w:szCs w:val="16"/>
              </w:rPr>
              <w:t>36 kalendářních měsíců</w:t>
            </w:r>
          </w:p>
        </w:tc>
      </w:tr>
      <w:tr w:rsidR="001639DC" w14:paraId="01C26B31" w14:textId="77777777">
        <w:trPr>
          <w:trHeight w:val="453"/>
          <w:jc w:val="center"/>
        </w:trPr>
        <w:tc>
          <w:tcPr>
            <w:tcW w:w="1478" w:type="dxa"/>
            <w:tcMar>
              <w:top w:w="0" w:type="dxa"/>
              <w:left w:w="108" w:type="dxa"/>
              <w:bottom w:w="0" w:type="dxa"/>
              <w:right w:w="108" w:type="dxa"/>
            </w:tcMar>
            <w:vAlign w:val="bottom"/>
          </w:tcPr>
          <w:p w14:paraId="10025AC8" w14:textId="77777777" w:rsidR="001639DC" w:rsidRDefault="00C83994">
            <w:pPr>
              <w:rPr>
                <w:sz w:val="16"/>
                <w:szCs w:val="16"/>
              </w:rPr>
            </w:pPr>
            <w:r>
              <w:rPr>
                <w:sz w:val="16"/>
                <w:szCs w:val="16"/>
              </w:rPr>
              <w:t>SP-AG784</w:t>
            </w:r>
          </w:p>
        </w:tc>
        <w:tc>
          <w:tcPr>
            <w:tcW w:w="3905" w:type="dxa"/>
            <w:tcMar>
              <w:top w:w="0" w:type="dxa"/>
              <w:left w:w="108" w:type="dxa"/>
              <w:bottom w:w="0" w:type="dxa"/>
              <w:right w:w="108" w:type="dxa"/>
            </w:tcMar>
            <w:vAlign w:val="bottom"/>
          </w:tcPr>
          <w:p w14:paraId="4561616E" w14:textId="77777777" w:rsidR="001639DC" w:rsidRDefault="00C83994">
            <w:pPr>
              <w:rPr>
                <w:sz w:val="16"/>
                <w:szCs w:val="16"/>
              </w:rPr>
            </w:pPr>
            <w:r>
              <w:rPr>
                <w:sz w:val="16"/>
                <w:szCs w:val="16"/>
              </w:rPr>
              <w:t>Operations Bridge Suite Premium Edition 1 Node for Migration Compliance SW E-LTU</w:t>
            </w:r>
          </w:p>
        </w:tc>
        <w:tc>
          <w:tcPr>
            <w:tcW w:w="1296" w:type="dxa"/>
            <w:tcMar>
              <w:top w:w="0" w:type="dxa"/>
              <w:left w:w="108" w:type="dxa"/>
              <w:bottom w:w="0" w:type="dxa"/>
              <w:right w:w="108" w:type="dxa"/>
            </w:tcMar>
            <w:vAlign w:val="bottom"/>
          </w:tcPr>
          <w:p w14:paraId="43E38A55" w14:textId="77777777" w:rsidR="001639DC" w:rsidRDefault="00C83994">
            <w:pPr>
              <w:jc w:val="center"/>
              <w:rPr>
                <w:sz w:val="16"/>
                <w:szCs w:val="16"/>
              </w:rPr>
            </w:pPr>
            <w:r>
              <w:rPr>
                <w:sz w:val="16"/>
                <w:szCs w:val="16"/>
              </w:rPr>
              <w:t>103</w:t>
            </w:r>
          </w:p>
        </w:tc>
        <w:tc>
          <w:tcPr>
            <w:tcW w:w="2371" w:type="dxa"/>
            <w:tcMar>
              <w:top w:w="0" w:type="dxa"/>
              <w:left w:w="28" w:type="dxa"/>
              <w:bottom w:w="0" w:type="dxa"/>
              <w:right w:w="28" w:type="dxa"/>
            </w:tcMar>
            <w:vAlign w:val="bottom"/>
          </w:tcPr>
          <w:p w14:paraId="0B3EC2C3" w14:textId="77777777" w:rsidR="001639DC" w:rsidRDefault="00C83994">
            <w:pPr>
              <w:jc w:val="center"/>
              <w:rPr>
                <w:sz w:val="16"/>
                <w:szCs w:val="16"/>
              </w:rPr>
            </w:pPr>
            <w:r>
              <w:rPr>
                <w:sz w:val="16"/>
                <w:szCs w:val="16"/>
              </w:rPr>
              <w:t>36 kalendářních měsíců</w:t>
            </w:r>
          </w:p>
        </w:tc>
      </w:tr>
      <w:tr w:rsidR="001639DC" w14:paraId="7DEE2357" w14:textId="77777777">
        <w:trPr>
          <w:trHeight w:val="453"/>
          <w:jc w:val="center"/>
        </w:trPr>
        <w:tc>
          <w:tcPr>
            <w:tcW w:w="1478" w:type="dxa"/>
            <w:tcMar>
              <w:top w:w="0" w:type="dxa"/>
              <w:left w:w="108" w:type="dxa"/>
              <w:bottom w:w="0" w:type="dxa"/>
              <w:right w:w="108" w:type="dxa"/>
            </w:tcMar>
            <w:vAlign w:val="bottom"/>
          </w:tcPr>
          <w:p w14:paraId="1A96DAB2" w14:textId="77777777" w:rsidR="001639DC" w:rsidRDefault="00C83994">
            <w:pPr>
              <w:rPr>
                <w:sz w:val="16"/>
                <w:szCs w:val="16"/>
              </w:rPr>
            </w:pPr>
            <w:r>
              <w:rPr>
                <w:sz w:val="16"/>
                <w:szCs w:val="16"/>
              </w:rPr>
              <w:t>SP-AG785</w:t>
            </w:r>
          </w:p>
        </w:tc>
        <w:tc>
          <w:tcPr>
            <w:tcW w:w="3905" w:type="dxa"/>
            <w:tcMar>
              <w:top w:w="0" w:type="dxa"/>
              <w:left w:w="108" w:type="dxa"/>
              <w:bottom w:w="0" w:type="dxa"/>
              <w:right w:w="108" w:type="dxa"/>
            </w:tcMar>
            <w:vAlign w:val="bottom"/>
          </w:tcPr>
          <w:p w14:paraId="2850925E" w14:textId="77777777" w:rsidR="001639DC" w:rsidRDefault="00C83994">
            <w:pPr>
              <w:rPr>
                <w:sz w:val="16"/>
                <w:szCs w:val="16"/>
              </w:rPr>
            </w:pPr>
            <w:r>
              <w:rPr>
                <w:sz w:val="16"/>
                <w:szCs w:val="16"/>
              </w:rPr>
              <w:t>Operations Bridge Suite Premium Edition 1 Node for Migration SW E-LTU</w:t>
            </w:r>
          </w:p>
        </w:tc>
        <w:tc>
          <w:tcPr>
            <w:tcW w:w="1296" w:type="dxa"/>
            <w:tcMar>
              <w:top w:w="0" w:type="dxa"/>
              <w:left w:w="108" w:type="dxa"/>
              <w:bottom w:w="0" w:type="dxa"/>
              <w:right w:w="108" w:type="dxa"/>
            </w:tcMar>
            <w:vAlign w:val="bottom"/>
          </w:tcPr>
          <w:p w14:paraId="360BF75E" w14:textId="77777777" w:rsidR="001639DC" w:rsidRDefault="00C83994">
            <w:pPr>
              <w:jc w:val="center"/>
              <w:rPr>
                <w:sz w:val="16"/>
                <w:szCs w:val="16"/>
              </w:rPr>
            </w:pPr>
            <w:r>
              <w:rPr>
                <w:sz w:val="16"/>
                <w:szCs w:val="16"/>
              </w:rPr>
              <w:t>221</w:t>
            </w:r>
          </w:p>
        </w:tc>
        <w:tc>
          <w:tcPr>
            <w:tcW w:w="2371" w:type="dxa"/>
            <w:tcMar>
              <w:top w:w="0" w:type="dxa"/>
              <w:left w:w="28" w:type="dxa"/>
              <w:bottom w:w="0" w:type="dxa"/>
              <w:right w:w="28" w:type="dxa"/>
            </w:tcMar>
            <w:vAlign w:val="bottom"/>
          </w:tcPr>
          <w:p w14:paraId="041D951D" w14:textId="77777777" w:rsidR="001639DC" w:rsidRDefault="00C83994">
            <w:pPr>
              <w:jc w:val="center"/>
              <w:rPr>
                <w:sz w:val="16"/>
                <w:szCs w:val="16"/>
              </w:rPr>
            </w:pPr>
            <w:r>
              <w:rPr>
                <w:sz w:val="16"/>
                <w:szCs w:val="16"/>
              </w:rPr>
              <w:t>36 kalendářních měsíců</w:t>
            </w:r>
          </w:p>
        </w:tc>
      </w:tr>
      <w:tr w:rsidR="001639DC" w14:paraId="3EB86E21" w14:textId="77777777">
        <w:trPr>
          <w:trHeight w:val="453"/>
          <w:jc w:val="center"/>
        </w:trPr>
        <w:tc>
          <w:tcPr>
            <w:tcW w:w="1478" w:type="dxa"/>
            <w:tcMar>
              <w:top w:w="0" w:type="dxa"/>
              <w:left w:w="108" w:type="dxa"/>
              <w:bottom w:w="0" w:type="dxa"/>
              <w:right w:w="108" w:type="dxa"/>
            </w:tcMar>
            <w:vAlign w:val="bottom"/>
          </w:tcPr>
          <w:p w14:paraId="33CECE72" w14:textId="77777777" w:rsidR="001639DC" w:rsidRDefault="00C83994">
            <w:pPr>
              <w:rPr>
                <w:sz w:val="16"/>
                <w:szCs w:val="16"/>
              </w:rPr>
            </w:pPr>
            <w:r>
              <w:rPr>
                <w:sz w:val="16"/>
                <w:szCs w:val="16"/>
              </w:rPr>
              <w:t>SP-AG838</w:t>
            </w:r>
          </w:p>
        </w:tc>
        <w:tc>
          <w:tcPr>
            <w:tcW w:w="3905" w:type="dxa"/>
            <w:tcMar>
              <w:top w:w="0" w:type="dxa"/>
              <w:left w:w="108" w:type="dxa"/>
              <w:bottom w:w="0" w:type="dxa"/>
              <w:right w:w="108" w:type="dxa"/>
            </w:tcMar>
            <w:vAlign w:val="bottom"/>
          </w:tcPr>
          <w:p w14:paraId="1FD2BF69" w14:textId="77777777" w:rsidR="001639DC" w:rsidRDefault="00C83994">
            <w:pPr>
              <w:rPr>
                <w:sz w:val="16"/>
                <w:szCs w:val="16"/>
              </w:rPr>
            </w:pPr>
            <w:r>
              <w:rPr>
                <w:sz w:val="16"/>
                <w:szCs w:val="16"/>
              </w:rPr>
              <w:t>Operations Bridge System Collector 1 OSI for Migration Compliance SW E-LTU</w:t>
            </w:r>
          </w:p>
        </w:tc>
        <w:tc>
          <w:tcPr>
            <w:tcW w:w="1296" w:type="dxa"/>
            <w:tcMar>
              <w:top w:w="0" w:type="dxa"/>
              <w:left w:w="108" w:type="dxa"/>
              <w:bottom w:w="0" w:type="dxa"/>
              <w:right w:w="108" w:type="dxa"/>
            </w:tcMar>
            <w:vAlign w:val="bottom"/>
          </w:tcPr>
          <w:p w14:paraId="7305EA5F" w14:textId="77777777" w:rsidR="001639DC" w:rsidRDefault="00C83994">
            <w:pPr>
              <w:jc w:val="center"/>
              <w:rPr>
                <w:sz w:val="16"/>
                <w:szCs w:val="16"/>
              </w:rPr>
            </w:pPr>
            <w:r>
              <w:rPr>
                <w:sz w:val="16"/>
                <w:szCs w:val="16"/>
              </w:rPr>
              <w:t>103</w:t>
            </w:r>
          </w:p>
        </w:tc>
        <w:tc>
          <w:tcPr>
            <w:tcW w:w="2371" w:type="dxa"/>
            <w:tcMar>
              <w:top w:w="0" w:type="dxa"/>
              <w:left w:w="28" w:type="dxa"/>
              <w:bottom w:w="0" w:type="dxa"/>
              <w:right w:w="28" w:type="dxa"/>
            </w:tcMar>
            <w:vAlign w:val="bottom"/>
          </w:tcPr>
          <w:p w14:paraId="44FD2670" w14:textId="77777777" w:rsidR="001639DC" w:rsidRDefault="00C83994">
            <w:pPr>
              <w:jc w:val="center"/>
              <w:rPr>
                <w:sz w:val="16"/>
                <w:szCs w:val="16"/>
              </w:rPr>
            </w:pPr>
            <w:r>
              <w:rPr>
                <w:sz w:val="16"/>
                <w:szCs w:val="16"/>
              </w:rPr>
              <w:t>36 kalendářních měsíců</w:t>
            </w:r>
          </w:p>
        </w:tc>
      </w:tr>
    </w:tbl>
    <w:p w14:paraId="4465C0DA" w14:textId="77777777" w:rsidR="001639DC" w:rsidRDefault="001639DC">
      <w:pPr>
        <w:pBdr>
          <w:top w:val="nil"/>
          <w:left w:val="nil"/>
          <w:bottom w:val="nil"/>
          <w:right w:val="nil"/>
          <w:between w:val="nil"/>
        </w:pBdr>
        <w:rPr>
          <w:rFonts w:ascii="Times New Roman" w:hAnsi="Times New Roman"/>
          <w:color w:val="000000"/>
          <w:sz w:val="24"/>
        </w:rPr>
      </w:pPr>
    </w:p>
    <w:p w14:paraId="0EA4555F" w14:textId="77777777" w:rsidR="001639DC" w:rsidRDefault="001639DC">
      <w:pPr>
        <w:pBdr>
          <w:top w:val="nil"/>
          <w:left w:val="nil"/>
          <w:bottom w:val="nil"/>
          <w:right w:val="nil"/>
          <w:between w:val="nil"/>
        </w:pBdr>
        <w:rPr>
          <w:rFonts w:ascii="Times New Roman" w:hAnsi="Times New Roman"/>
          <w:color w:val="000000"/>
          <w:sz w:val="24"/>
        </w:rPr>
      </w:pPr>
    </w:p>
    <w:p w14:paraId="516BDFBF" w14:textId="77777777" w:rsidR="001639DC" w:rsidRDefault="001639DC">
      <w:pPr>
        <w:pBdr>
          <w:top w:val="nil"/>
          <w:left w:val="nil"/>
          <w:bottom w:val="nil"/>
          <w:right w:val="nil"/>
          <w:between w:val="nil"/>
        </w:pBdr>
        <w:rPr>
          <w:rFonts w:ascii="Times New Roman" w:hAnsi="Times New Roman"/>
          <w:color w:val="000000"/>
          <w:sz w:val="24"/>
        </w:rPr>
      </w:pPr>
    </w:p>
    <w:p w14:paraId="3273921B" w14:textId="77777777" w:rsidR="001639DC" w:rsidRDefault="001639DC">
      <w:pPr>
        <w:pBdr>
          <w:top w:val="nil"/>
          <w:left w:val="nil"/>
          <w:bottom w:val="nil"/>
          <w:right w:val="nil"/>
          <w:between w:val="nil"/>
        </w:pBdr>
        <w:rPr>
          <w:rFonts w:ascii="Times New Roman" w:hAnsi="Times New Roman"/>
          <w:color w:val="000000"/>
          <w:sz w:val="24"/>
        </w:rPr>
      </w:pPr>
    </w:p>
    <w:p w14:paraId="16B8E8FB" w14:textId="77777777" w:rsidR="001639DC" w:rsidRDefault="001639DC">
      <w:pPr>
        <w:pBdr>
          <w:top w:val="nil"/>
          <w:left w:val="nil"/>
          <w:bottom w:val="nil"/>
          <w:right w:val="nil"/>
          <w:between w:val="nil"/>
        </w:pBdr>
        <w:rPr>
          <w:rFonts w:ascii="Times New Roman" w:hAnsi="Times New Roman"/>
          <w:color w:val="000000"/>
          <w:sz w:val="24"/>
        </w:rPr>
      </w:pPr>
    </w:p>
    <w:p w14:paraId="4ECEB07C" w14:textId="77777777" w:rsidR="001639DC" w:rsidRDefault="001639DC">
      <w:pPr>
        <w:pBdr>
          <w:top w:val="nil"/>
          <w:left w:val="nil"/>
          <w:bottom w:val="nil"/>
          <w:right w:val="nil"/>
          <w:between w:val="nil"/>
        </w:pBdr>
        <w:rPr>
          <w:rFonts w:ascii="Times New Roman" w:hAnsi="Times New Roman"/>
          <w:color w:val="000000"/>
          <w:sz w:val="24"/>
        </w:rPr>
      </w:pPr>
    </w:p>
    <w:p w14:paraId="6A5573F0" w14:textId="77777777" w:rsidR="001639DC" w:rsidRDefault="001639DC">
      <w:pPr>
        <w:pBdr>
          <w:top w:val="nil"/>
          <w:left w:val="nil"/>
          <w:bottom w:val="nil"/>
          <w:right w:val="nil"/>
          <w:between w:val="nil"/>
        </w:pBdr>
        <w:rPr>
          <w:rFonts w:ascii="Times New Roman" w:hAnsi="Times New Roman"/>
          <w:color w:val="000000"/>
          <w:sz w:val="24"/>
        </w:rPr>
      </w:pPr>
    </w:p>
    <w:p w14:paraId="6B4DB7CB" w14:textId="77777777" w:rsidR="001639DC" w:rsidRDefault="001639DC">
      <w:pPr>
        <w:pBdr>
          <w:top w:val="nil"/>
          <w:left w:val="nil"/>
          <w:bottom w:val="nil"/>
          <w:right w:val="nil"/>
          <w:between w:val="nil"/>
        </w:pBdr>
        <w:rPr>
          <w:rFonts w:ascii="Times New Roman" w:hAnsi="Times New Roman"/>
          <w:color w:val="000000"/>
          <w:sz w:val="24"/>
        </w:rPr>
      </w:pPr>
    </w:p>
    <w:p w14:paraId="1F90DF62" w14:textId="77777777" w:rsidR="001639DC" w:rsidRDefault="001639DC">
      <w:pPr>
        <w:pBdr>
          <w:top w:val="nil"/>
          <w:left w:val="nil"/>
          <w:bottom w:val="nil"/>
          <w:right w:val="nil"/>
          <w:between w:val="nil"/>
        </w:pBdr>
        <w:rPr>
          <w:rFonts w:ascii="Times New Roman" w:hAnsi="Times New Roman"/>
          <w:color w:val="000000"/>
          <w:sz w:val="24"/>
        </w:rPr>
      </w:pPr>
    </w:p>
    <w:p w14:paraId="13D6772A" w14:textId="77777777" w:rsidR="001639DC" w:rsidRDefault="001639DC">
      <w:pPr>
        <w:pBdr>
          <w:top w:val="nil"/>
          <w:left w:val="nil"/>
          <w:bottom w:val="nil"/>
          <w:right w:val="nil"/>
          <w:between w:val="nil"/>
        </w:pBdr>
        <w:rPr>
          <w:rFonts w:ascii="Times New Roman" w:hAnsi="Times New Roman"/>
          <w:color w:val="000000"/>
          <w:sz w:val="24"/>
        </w:rPr>
      </w:pPr>
    </w:p>
    <w:p w14:paraId="25A64174" w14:textId="77777777" w:rsidR="001639DC" w:rsidRDefault="001639DC">
      <w:pPr>
        <w:pBdr>
          <w:top w:val="nil"/>
          <w:left w:val="nil"/>
          <w:bottom w:val="nil"/>
          <w:right w:val="nil"/>
          <w:between w:val="nil"/>
        </w:pBdr>
        <w:rPr>
          <w:rFonts w:ascii="Times New Roman" w:hAnsi="Times New Roman"/>
          <w:color w:val="000000"/>
          <w:sz w:val="24"/>
        </w:rPr>
      </w:pPr>
    </w:p>
    <w:p w14:paraId="7629C5A5" w14:textId="77777777" w:rsidR="001639DC" w:rsidRDefault="001639DC">
      <w:pPr>
        <w:pBdr>
          <w:top w:val="nil"/>
          <w:left w:val="nil"/>
          <w:bottom w:val="nil"/>
          <w:right w:val="nil"/>
          <w:between w:val="nil"/>
        </w:pBdr>
        <w:rPr>
          <w:rFonts w:ascii="Times New Roman" w:hAnsi="Times New Roman"/>
          <w:color w:val="000000"/>
          <w:sz w:val="24"/>
        </w:rPr>
      </w:pPr>
    </w:p>
    <w:p w14:paraId="3B904839" w14:textId="77777777" w:rsidR="001639DC" w:rsidRDefault="001639DC">
      <w:pPr>
        <w:pBdr>
          <w:top w:val="nil"/>
          <w:left w:val="nil"/>
          <w:bottom w:val="nil"/>
          <w:right w:val="nil"/>
          <w:between w:val="nil"/>
        </w:pBdr>
        <w:rPr>
          <w:rFonts w:ascii="Times New Roman" w:hAnsi="Times New Roman"/>
          <w:color w:val="000000"/>
          <w:sz w:val="24"/>
        </w:rPr>
      </w:pPr>
    </w:p>
    <w:p w14:paraId="292F8129" w14:textId="77777777" w:rsidR="001639DC" w:rsidRDefault="001639DC">
      <w:pPr>
        <w:pBdr>
          <w:top w:val="nil"/>
          <w:left w:val="nil"/>
          <w:bottom w:val="nil"/>
          <w:right w:val="nil"/>
          <w:between w:val="nil"/>
        </w:pBdr>
        <w:rPr>
          <w:rFonts w:ascii="Times New Roman" w:hAnsi="Times New Roman"/>
          <w:color w:val="000000"/>
          <w:sz w:val="24"/>
        </w:rPr>
      </w:pPr>
    </w:p>
    <w:p w14:paraId="1E7ABC31" w14:textId="77777777" w:rsidR="001639DC" w:rsidRDefault="001639DC">
      <w:pPr>
        <w:pBdr>
          <w:top w:val="nil"/>
          <w:left w:val="nil"/>
          <w:bottom w:val="nil"/>
          <w:right w:val="nil"/>
          <w:between w:val="nil"/>
        </w:pBdr>
        <w:rPr>
          <w:rFonts w:ascii="Times New Roman" w:hAnsi="Times New Roman"/>
          <w:color w:val="000000"/>
          <w:sz w:val="24"/>
        </w:rPr>
      </w:pPr>
    </w:p>
    <w:p w14:paraId="6592636A" w14:textId="77777777" w:rsidR="001639DC" w:rsidRDefault="001639DC">
      <w:pPr>
        <w:pBdr>
          <w:top w:val="nil"/>
          <w:left w:val="nil"/>
          <w:bottom w:val="nil"/>
          <w:right w:val="nil"/>
          <w:between w:val="nil"/>
        </w:pBdr>
        <w:rPr>
          <w:rFonts w:ascii="Times New Roman" w:hAnsi="Times New Roman"/>
          <w:color w:val="000000"/>
          <w:sz w:val="24"/>
        </w:rPr>
      </w:pPr>
    </w:p>
    <w:p w14:paraId="3BFCBB84" w14:textId="77777777" w:rsidR="001639DC" w:rsidRDefault="001639DC">
      <w:pPr>
        <w:pBdr>
          <w:top w:val="nil"/>
          <w:left w:val="nil"/>
          <w:bottom w:val="nil"/>
          <w:right w:val="nil"/>
          <w:between w:val="nil"/>
        </w:pBdr>
        <w:rPr>
          <w:rFonts w:ascii="Times New Roman" w:hAnsi="Times New Roman"/>
          <w:color w:val="000000"/>
          <w:sz w:val="24"/>
        </w:rPr>
      </w:pPr>
    </w:p>
    <w:p w14:paraId="69B280E8" w14:textId="77777777" w:rsidR="001639DC" w:rsidRDefault="001639DC">
      <w:pPr>
        <w:pBdr>
          <w:top w:val="nil"/>
          <w:left w:val="nil"/>
          <w:bottom w:val="nil"/>
          <w:right w:val="nil"/>
          <w:between w:val="nil"/>
        </w:pBdr>
        <w:rPr>
          <w:rFonts w:ascii="Times New Roman" w:hAnsi="Times New Roman"/>
          <w:color w:val="000000"/>
          <w:sz w:val="24"/>
        </w:rPr>
      </w:pPr>
    </w:p>
    <w:p w14:paraId="000828D7" w14:textId="77777777" w:rsidR="001639DC" w:rsidRDefault="001639DC">
      <w:pPr>
        <w:pBdr>
          <w:top w:val="nil"/>
          <w:left w:val="nil"/>
          <w:bottom w:val="nil"/>
          <w:right w:val="nil"/>
          <w:between w:val="nil"/>
        </w:pBdr>
        <w:rPr>
          <w:rFonts w:ascii="Times New Roman" w:hAnsi="Times New Roman"/>
          <w:color w:val="000000"/>
          <w:sz w:val="24"/>
        </w:rPr>
      </w:pPr>
    </w:p>
    <w:p w14:paraId="54136A70" w14:textId="77777777" w:rsidR="001639DC" w:rsidRDefault="001639DC">
      <w:pPr>
        <w:pBdr>
          <w:top w:val="nil"/>
          <w:left w:val="nil"/>
          <w:bottom w:val="nil"/>
          <w:right w:val="nil"/>
          <w:between w:val="nil"/>
        </w:pBdr>
        <w:rPr>
          <w:rFonts w:ascii="Times New Roman" w:hAnsi="Times New Roman"/>
          <w:color w:val="000000"/>
          <w:sz w:val="24"/>
        </w:rPr>
      </w:pPr>
    </w:p>
    <w:p w14:paraId="07E73C95" w14:textId="77777777" w:rsidR="001639DC" w:rsidRDefault="001639DC">
      <w:pPr>
        <w:pBdr>
          <w:top w:val="nil"/>
          <w:left w:val="nil"/>
          <w:bottom w:val="nil"/>
          <w:right w:val="nil"/>
          <w:between w:val="nil"/>
        </w:pBdr>
        <w:rPr>
          <w:rFonts w:ascii="Times New Roman" w:hAnsi="Times New Roman"/>
          <w:color w:val="000000"/>
          <w:sz w:val="24"/>
        </w:rPr>
      </w:pPr>
    </w:p>
    <w:p w14:paraId="4D0BE4D6" w14:textId="77777777" w:rsidR="001639DC" w:rsidRDefault="001639DC">
      <w:pPr>
        <w:pBdr>
          <w:top w:val="nil"/>
          <w:left w:val="nil"/>
          <w:bottom w:val="nil"/>
          <w:right w:val="nil"/>
          <w:between w:val="nil"/>
        </w:pBdr>
        <w:rPr>
          <w:rFonts w:ascii="Times New Roman" w:hAnsi="Times New Roman"/>
          <w:color w:val="000000"/>
          <w:sz w:val="24"/>
        </w:rPr>
      </w:pPr>
    </w:p>
    <w:p w14:paraId="5C56D53C" w14:textId="77777777" w:rsidR="001639DC" w:rsidRDefault="001639DC">
      <w:pPr>
        <w:pBdr>
          <w:top w:val="nil"/>
          <w:left w:val="nil"/>
          <w:bottom w:val="nil"/>
          <w:right w:val="nil"/>
          <w:between w:val="nil"/>
        </w:pBdr>
        <w:rPr>
          <w:rFonts w:ascii="Times New Roman" w:hAnsi="Times New Roman"/>
          <w:color w:val="000000"/>
          <w:sz w:val="24"/>
        </w:rPr>
      </w:pPr>
    </w:p>
    <w:p w14:paraId="0A3F436E" w14:textId="77777777" w:rsidR="001639DC" w:rsidRDefault="001639DC">
      <w:pPr>
        <w:pBdr>
          <w:top w:val="nil"/>
          <w:left w:val="nil"/>
          <w:bottom w:val="nil"/>
          <w:right w:val="nil"/>
          <w:between w:val="nil"/>
        </w:pBdr>
        <w:rPr>
          <w:rFonts w:ascii="Times New Roman" w:hAnsi="Times New Roman"/>
          <w:color w:val="000000"/>
          <w:sz w:val="24"/>
        </w:rPr>
      </w:pPr>
    </w:p>
    <w:p w14:paraId="380A8444" w14:textId="77777777" w:rsidR="001639DC" w:rsidRDefault="001639DC">
      <w:pPr>
        <w:pBdr>
          <w:top w:val="nil"/>
          <w:left w:val="nil"/>
          <w:bottom w:val="nil"/>
          <w:right w:val="nil"/>
          <w:between w:val="nil"/>
        </w:pBdr>
        <w:rPr>
          <w:rFonts w:ascii="Times New Roman" w:hAnsi="Times New Roman"/>
          <w:color w:val="000000"/>
          <w:sz w:val="24"/>
        </w:rPr>
      </w:pPr>
    </w:p>
    <w:p w14:paraId="0680EC1D" w14:textId="77777777" w:rsidR="001639DC" w:rsidRDefault="001639DC">
      <w:pPr>
        <w:pBdr>
          <w:top w:val="nil"/>
          <w:left w:val="nil"/>
          <w:bottom w:val="nil"/>
          <w:right w:val="nil"/>
          <w:between w:val="nil"/>
        </w:pBdr>
        <w:spacing w:line="276" w:lineRule="auto"/>
        <w:rPr>
          <w:b/>
          <w:sz w:val="24"/>
        </w:rPr>
      </w:pPr>
    </w:p>
    <w:p w14:paraId="1AEECBFC" w14:textId="77777777" w:rsidR="001639DC" w:rsidRDefault="001639DC">
      <w:pPr>
        <w:pBdr>
          <w:top w:val="nil"/>
          <w:left w:val="nil"/>
          <w:bottom w:val="nil"/>
          <w:right w:val="nil"/>
          <w:between w:val="nil"/>
        </w:pBdr>
        <w:spacing w:line="276" w:lineRule="auto"/>
        <w:rPr>
          <w:b/>
          <w:sz w:val="24"/>
        </w:rPr>
      </w:pPr>
    </w:p>
    <w:p w14:paraId="561445E8" w14:textId="77777777" w:rsidR="001639DC" w:rsidRDefault="001639DC">
      <w:pPr>
        <w:pBdr>
          <w:top w:val="nil"/>
          <w:left w:val="nil"/>
          <w:bottom w:val="nil"/>
          <w:right w:val="nil"/>
          <w:between w:val="nil"/>
        </w:pBdr>
        <w:spacing w:line="276" w:lineRule="auto"/>
        <w:rPr>
          <w:b/>
          <w:sz w:val="24"/>
        </w:rPr>
      </w:pPr>
    </w:p>
    <w:p w14:paraId="62CABA6F" w14:textId="77777777" w:rsidR="001639DC" w:rsidRDefault="00C83994">
      <w:pPr>
        <w:pBdr>
          <w:top w:val="single" w:sz="4" w:space="2" w:color="000000"/>
          <w:left w:val="single" w:sz="4" w:space="4" w:color="000000"/>
          <w:bottom w:val="single" w:sz="4" w:space="2" w:color="000000"/>
          <w:right w:val="single" w:sz="4" w:space="4" w:color="000000"/>
        </w:pBdr>
        <w:shd w:val="clear" w:color="auto" w:fill="D9D9D9"/>
        <w:jc w:val="left"/>
        <w:rPr>
          <w:b/>
          <w:sz w:val="24"/>
        </w:rPr>
      </w:pPr>
      <w:r>
        <w:rPr>
          <w:b/>
          <w:smallCaps/>
        </w:rPr>
        <w:lastRenderedPageBreak/>
        <w:t>PŘÍLOHA Č. 2 – SPECIFIKACE CENY</w:t>
      </w:r>
    </w:p>
    <w:p w14:paraId="165F1669" w14:textId="77777777" w:rsidR="001639DC" w:rsidRDefault="001639DC">
      <w:pPr>
        <w:rPr>
          <w:highlight w:val="yellow"/>
        </w:rPr>
      </w:pPr>
    </w:p>
    <w:p w14:paraId="58EB64B4" w14:textId="77777777" w:rsidR="001639DC" w:rsidRDefault="001639DC">
      <w:pPr>
        <w:rPr>
          <w:highlight w:val="yellow"/>
        </w:rPr>
      </w:pPr>
    </w:p>
    <w:tbl>
      <w:tblPr>
        <w:tblStyle w:val="a4"/>
        <w:tblW w:w="10570" w:type="dxa"/>
        <w:jc w:val="center"/>
        <w:tblLayout w:type="fixed"/>
        <w:tblLook w:val="0400" w:firstRow="0" w:lastRow="0" w:firstColumn="0" w:lastColumn="0" w:noHBand="0" w:noVBand="1"/>
      </w:tblPr>
      <w:tblGrid>
        <w:gridCol w:w="3105"/>
        <w:gridCol w:w="1968"/>
        <w:gridCol w:w="954"/>
        <w:gridCol w:w="1325"/>
        <w:gridCol w:w="3218"/>
      </w:tblGrid>
      <w:tr w:rsidR="001639DC" w14:paraId="14D79A65" w14:textId="77777777">
        <w:trPr>
          <w:trHeight w:val="1998"/>
          <w:jc w:val="center"/>
        </w:trPr>
        <w:tc>
          <w:tcPr>
            <w:tcW w:w="3105" w:type="dxa"/>
            <w:tcBorders>
              <w:top w:val="single" w:sz="8" w:space="0" w:color="000000"/>
              <w:left w:val="single" w:sz="8" w:space="0" w:color="000000"/>
              <w:bottom w:val="single" w:sz="8" w:space="0" w:color="000000"/>
              <w:right w:val="single" w:sz="4" w:space="0" w:color="000000"/>
            </w:tcBorders>
            <w:shd w:val="clear" w:color="auto" w:fill="5B9BD5"/>
            <w:vAlign w:val="center"/>
          </w:tcPr>
          <w:p w14:paraId="59832DD2" w14:textId="77777777" w:rsidR="001639DC" w:rsidRDefault="00C83994">
            <w:pPr>
              <w:jc w:val="center"/>
              <w:rPr>
                <w:rFonts w:ascii="Calibri" w:eastAsia="Calibri" w:hAnsi="Calibri" w:cs="Calibri"/>
                <w:b/>
                <w:color w:val="FFFFFF"/>
                <w:sz w:val="22"/>
                <w:szCs w:val="22"/>
              </w:rPr>
            </w:pPr>
            <w:r>
              <w:rPr>
                <w:rFonts w:ascii="Calibri" w:eastAsia="Calibri" w:hAnsi="Calibri" w:cs="Calibri"/>
                <w:b/>
                <w:color w:val="FFFFFF"/>
                <w:sz w:val="22"/>
                <w:szCs w:val="22"/>
              </w:rPr>
              <w:t>Part No</w:t>
            </w:r>
          </w:p>
        </w:tc>
        <w:tc>
          <w:tcPr>
            <w:tcW w:w="1968" w:type="dxa"/>
            <w:tcBorders>
              <w:top w:val="single" w:sz="8" w:space="0" w:color="000000"/>
              <w:left w:val="nil"/>
              <w:bottom w:val="single" w:sz="8" w:space="0" w:color="000000"/>
              <w:right w:val="single" w:sz="4" w:space="0" w:color="000000"/>
            </w:tcBorders>
            <w:shd w:val="clear" w:color="auto" w:fill="5B9BD5"/>
            <w:vAlign w:val="center"/>
          </w:tcPr>
          <w:p w14:paraId="1881C8BA" w14:textId="77777777" w:rsidR="001639DC" w:rsidRDefault="00C83994">
            <w:pPr>
              <w:jc w:val="center"/>
              <w:rPr>
                <w:rFonts w:ascii="Calibri" w:eastAsia="Calibri" w:hAnsi="Calibri" w:cs="Calibri"/>
                <w:b/>
                <w:color w:val="FFFFFF"/>
                <w:sz w:val="22"/>
                <w:szCs w:val="22"/>
              </w:rPr>
            </w:pPr>
            <w:r>
              <w:rPr>
                <w:rFonts w:ascii="Calibri" w:eastAsia="Calibri" w:hAnsi="Calibri" w:cs="Calibri"/>
                <w:b/>
                <w:color w:val="FFFFFF"/>
                <w:sz w:val="22"/>
                <w:szCs w:val="22"/>
              </w:rPr>
              <w:t>Název SW licence</w:t>
            </w:r>
          </w:p>
        </w:tc>
        <w:tc>
          <w:tcPr>
            <w:tcW w:w="954" w:type="dxa"/>
            <w:tcBorders>
              <w:top w:val="single" w:sz="8" w:space="0" w:color="000000"/>
              <w:left w:val="nil"/>
              <w:bottom w:val="single" w:sz="8" w:space="0" w:color="000000"/>
              <w:right w:val="single" w:sz="8" w:space="0" w:color="000000"/>
            </w:tcBorders>
            <w:shd w:val="clear" w:color="auto" w:fill="5B9BD5"/>
            <w:vAlign w:val="center"/>
          </w:tcPr>
          <w:p w14:paraId="45FE4F94" w14:textId="77777777" w:rsidR="001639DC" w:rsidRDefault="00C83994">
            <w:pPr>
              <w:jc w:val="center"/>
              <w:rPr>
                <w:rFonts w:ascii="Calibri" w:eastAsia="Calibri" w:hAnsi="Calibri" w:cs="Calibri"/>
                <w:b/>
                <w:color w:val="FFFFFF"/>
                <w:sz w:val="22"/>
                <w:szCs w:val="22"/>
              </w:rPr>
            </w:pPr>
            <w:r>
              <w:rPr>
                <w:rFonts w:ascii="Calibri" w:eastAsia="Calibri" w:hAnsi="Calibri" w:cs="Calibri"/>
                <w:b/>
                <w:color w:val="FFFFFF"/>
                <w:sz w:val="22"/>
                <w:szCs w:val="22"/>
              </w:rPr>
              <w:t>Počet jednotek</w:t>
            </w:r>
          </w:p>
        </w:tc>
        <w:tc>
          <w:tcPr>
            <w:tcW w:w="1325" w:type="dxa"/>
            <w:tcBorders>
              <w:top w:val="single" w:sz="8" w:space="0" w:color="000000"/>
              <w:left w:val="nil"/>
              <w:bottom w:val="single" w:sz="8" w:space="0" w:color="000000"/>
              <w:right w:val="nil"/>
            </w:tcBorders>
            <w:shd w:val="clear" w:color="auto" w:fill="5B9BD5"/>
            <w:vAlign w:val="center"/>
          </w:tcPr>
          <w:p w14:paraId="483FA999" w14:textId="77777777" w:rsidR="001639DC" w:rsidRDefault="00C83994">
            <w:pPr>
              <w:jc w:val="center"/>
              <w:rPr>
                <w:rFonts w:ascii="Calibri" w:eastAsia="Calibri" w:hAnsi="Calibri" w:cs="Calibri"/>
                <w:b/>
                <w:color w:val="FFFFFF"/>
                <w:sz w:val="22"/>
                <w:szCs w:val="22"/>
              </w:rPr>
            </w:pPr>
            <w:r>
              <w:rPr>
                <w:rFonts w:ascii="Calibri" w:eastAsia="Calibri" w:hAnsi="Calibri" w:cs="Calibri"/>
                <w:b/>
                <w:color w:val="FFFFFF"/>
                <w:sz w:val="22"/>
                <w:szCs w:val="22"/>
              </w:rPr>
              <w:t>Cena Podpory SW produktu vztažená k celkovému počtu licencí za 12 kalendářních měsíců v Kč bez DPH</w:t>
            </w:r>
          </w:p>
        </w:tc>
        <w:tc>
          <w:tcPr>
            <w:tcW w:w="3218" w:type="dxa"/>
            <w:tcBorders>
              <w:top w:val="single" w:sz="8" w:space="0" w:color="000000"/>
              <w:left w:val="single" w:sz="4" w:space="0" w:color="000000"/>
              <w:bottom w:val="single" w:sz="8" w:space="0" w:color="000000"/>
              <w:right w:val="single" w:sz="8" w:space="0" w:color="000000"/>
            </w:tcBorders>
            <w:shd w:val="clear" w:color="auto" w:fill="5B9BD5"/>
            <w:vAlign w:val="center"/>
          </w:tcPr>
          <w:p w14:paraId="4D5A1B56" w14:textId="77777777" w:rsidR="001639DC" w:rsidRDefault="00C83994">
            <w:pPr>
              <w:jc w:val="center"/>
              <w:rPr>
                <w:rFonts w:ascii="Calibri" w:eastAsia="Calibri" w:hAnsi="Calibri" w:cs="Calibri"/>
                <w:b/>
                <w:color w:val="FFFFFF"/>
                <w:sz w:val="22"/>
                <w:szCs w:val="22"/>
              </w:rPr>
            </w:pPr>
            <w:r>
              <w:rPr>
                <w:rFonts w:ascii="Calibri" w:eastAsia="Calibri" w:hAnsi="Calibri" w:cs="Calibri"/>
                <w:b/>
                <w:color w:val="FFFFFF"/>
                <w:sz w:val="22"/>
                <w:szCs w:val="22"/>
              </w:rPr>
              <w:t>Cena Podpory SW produktu vztažená k celkovému počtu licencí za 36 kalendářních měsíců v Kč bez DPH</w:t>
            </w:r>
          </w:p>
        </w:tc>
      </w:tr>
      <w:tr w:rsidR="00C83994" w14:paraId="2E1523CD" w14:textId="77777777" w:rsidTr="005A16DB">
        <w:trPr>
          <w:trHeight w:val="414"/>
          <w:jc w:val="center"/>
        </w:trPr>
        <w:tc>
          <w:tcPr>
            <w:tcW w:w="3105" w:type="dxa"/>
            <w:tcBorders>
              <w:top w:val="nil"/>
              <w:left w:val="single" w:sz="8" w:space="0" w:color="000000"/>
              <w:bottom w:val="single" w:sz="8" w:space="0" w:color="000000"/>
              <w:right w:val="single" w:sz="8" w:space="0" w:color="000000"/>
            </w:tcBorders>
            <w:shd w:val="clear" w:color="auto" w:fill="auto"/>
            <w:vAlign w:val="bottom"/>
          </w:tcPr>
          <w:p w14:paraId="2E4ADA9A" w14:textId="77777777" w:rsidR="00C83994" w:rsidRDefault="00C83994" w:rsidP="00C83994">
            <w:pPr>
              <w:jc w:val="left"/>
              <w:rPr>
                <w:color w:val="000000"/>
                <w:sz w:val="16"/>
                <w:szCs w:val="16"/>
              </w:rPr>
            </w:pPr>
            <w:r>
              <w:rPr>
                <w:color w:val="000000"/>
                <w:sz w:val="16"/>
                <w:szCs w:val="16"/>
              </w:rPr>
              <w:t>SP-AJ349</w:t>
            </w:r>
          </w:p>
        </w:tc>
        <w:tc>
          <w:tcPr>
            <w:tcW w:w="1968" w:type="dxa"/>
            <w:tcBorders>
              <w:top w:val="nil"/>
              <w:left w:val="nil"/>
              <w:bottom w:val="single" w:sz="8" w:space="0" w:color="000000"/>
              <w:right w:val="single" w:sz="8" w:space="0" w:color="000000"/>
            </w:tcBorders>
            <w:shd w:val="clear" w:color="auto" w:fill="auto"/>
            <w:vAlign w:val="bottom"/>
          </w:tcPr>
          <w:p w14:paraId="08B10B7C" w14:textId="77777777" w:rsidR="00C83994" w:rsidRDefault="00C83994" w:rsidP="00C83994">
            <w:pPr>
              <w:jc w:val="left"/>
              <w:rPr>
                <w:color w:val="000000"/>
                <w:sz w:val="16"/>
                <w:szCs w:val="16"/>
              </w:rPr>
            </w:pPr>
            <w:r>
              <w:rPr>
                <w:sz w:val="16"/>
                <w:szCs w:val="16"/>
              </w:rPr>
              <w:t>Business Availability Center Business Process Monitor Transactions Unlimited Locations SW E-LTU</w:t>
            </w:r>
          </w:p>
        </w:tc>
        <w:tc>
          <w:tcPr>
            <w:tcW w:w="954" w:type="dxa"/>
            <w:tcBorders>
              <w:top w:val="nil"/>
              <w:left w:val="nil"/>
              <w:bottom w:val="single" w:sz="8" w:space="0" w:color="000000"/>
              <w:right w:val="single" w:sz="8" w:space="0" w:color="000000"/>
            </w:tcBorders>
            <w:shd w:val="clear" w:color="auto" w:fill="auto"/>
            <w:vAlign w:val="bottom"/>
          </w:tcPr>
          <w:p w14:paraId="0B1236BE" w14:textId="77777777" w:rsidR="00C83994" w:rsidRDefault="00C83994" w:rsidP="00C83994">
            <w:pPr>
              <w:jc w:val="center"/>
              <w:rPr>
                <w:color w:val="000000"/>
              </w:rPr>
            </w:pPr>
            <w:r>
              <w:rPr>
                <w:sz w:val="16"/>
                <w:szCs w:val="16"/>
              </w:rPr>
              <w:t>20</w:t>
            </w:r>
          </w:p>
        </w:tc>
        <w:tc>
          <w:tcPr>
            <w:tcW w:w="1325" w:type="dxa"/>
            <w:tcBorders>
              <w:top w:val="nil"/>
              <w:left w:val="nil"/>
              <w:bottom w:val="single" w:sz="4" w:space="0" w:color="000000"/>
              <w:right w:val="single" w:sz="4" w:space="0" w:color="000000"/>
            </w:tcBorders>
            <w:shd w:val="clear" w:color="auto" w:fill="FFFFFF"/>
            <w:vAlign w:val="bottom"/>
          </w:tcPr>
          <w:p w14:paraId="54CACE52" w14:textId="6D8AD0DC" w:rsidR="00C83994" w:rsidRDefault="00C83994">
            <w:pPr>
              <w:jc w:val="center"/>
              <w:rPr>
                <w:rFonts w:ascii="Calibri" w:eastAsia="Calibri" w:hAnsi="Calibri" w:cs="Calibri"/>
                <w:sz w:val="16"/>
                <w:szCs w:val="16"/>
              </w:rPr>
            </w:pPr>
            <w:r>
              <w:rPr>
                <w:rFonts w:ascii="Calibri" w:hAnsi="Calibri" w:cs="Calibri"/>
                <w:color w:val="000000"/>
                <w:sz w:val="22"/>
                <w:szCs w:val="22"/>
              </w:rPr>
              <w:t>282 238 Kč</w:t>
            </w:r>
          </w:p>
        </w:tc>
        <w:tc>
          <w:tcPr>
            <w:tcW w:w="3218" w:type="dxa"/>
            <w:tcBorders>
              <w:top w:val="nil"/>
              <w:left w:val="nil"/>
              <w:bottom w:val="single" w:sz="4" w:space="0" w:color="000000"/>
              <w:right w:val="single" w:sz="8" w:space="0" w:color="000000"/>
            </w:tcBorders>
            <w:shd w:val="clear" w:color="auto" w:fill="auto"/>
            <w:vAlign w:val="bottom"/>
          </w:tcPr>
          <w:p w14:paraId="0359FB95" w14:textId="017B8043" w:rsidR="00C83994" w:rsidRDefault="00C83994">
            <w:pPr>
              <w:jc w:val="center"/>
              <w:rPr>
                <w:rFonts w:ascii="Calibri" w:eastAsia="Calibri" w:hAnsi="Calibri" w:cs="Calibri"/>
                <w:sz w:val="22"/>
                <w:szCs w:val="22"/>
              </w:rPr>
            </w:pPr>
            <w:r>
              <w:rPr>
                <w:rFonts w:ascii="Calibri" w:hAnsi="Calibri" w:cs="Calibri"/>
                <w:color w:val="000000"/>
                <w:sz w:val="22"/>
                <w:szCs w:val="22"/>
              </w:rPr>
              <w:t>846 714 Kč</w:t>
            </w:r>
          </w:p>
        </w:tc>
      </w:tr>
      <w:tr w:rsidR="00C83994" w14:paraId="240A8719" w14:textId="77777777" w:rsidTr="005A16DB">
        <w:trPr>
          <w:trHeight w:val="414"/>
          <w:jc w:val="center"/>
        </w:trPr>
        <w:tc>
          <w:tcPr>
            <w:tcW w:w="3105" w:type="dxa"/>
            <w:tcBorders>
              <w:top w:val="nil"/>
              <w:left w:val="single" w:sz="8" w:space="0" w:color="000000"/>
              <w:bottom w:val="single" w:sz="8" w:space="0" w:color="000000"/>
              <w:right w:val="single" w:sz="8" w:space="0" w:color="000000"/>
            </w:tcBorders>
            <w:shd w:val="clear" w:color="auto" w:fill="auto"/>
            <w:vAlign w:val="bottom"/>
          </w:tcPr>
          <w:p w14:paraId="7C0B2A70" w14:textId="77777777" w:rsidR="00C83994" w:rsidRDefault="00C83994" w:rsidP="00C83994">
            <w:pPr>
              <w:jc w:val="left"/>
              <w:rPr>
                <w:color w:val="000000"/>
                <w:sz w:val="16"/>
                <w:szCs w:val="16"/>
              </w:rPr>
            </w:pPr>
            <w:r>
              <w:rPr>
                <w:color w:val="000000"/>
                <w:sz w:val="16"/>
                <w:szCs w:val="16"/>
              </w:rPr>
              <w:t>SP-AJ349</w:t>
            </w:r>
          </w:p>
        </w:tc>
        <w:tc>
          <w:tcPr>
            <w:tcW w:w="1968" w:type="dxa"/>
            <w:tcBorders>
              <w:top w:val="nil"/>
              <w:left w:val="nil"/>
              <w:bottom w:val="single" w:sz="8" w:space="0" w:color="000000"/>
              <w:right w:val="single" w:sz="8" w:space="0" w:color="000000"/>
            </w:tcBorders>
            <w:shd w:val="clear" w:color="auto" w:fill="auto"/>
            <w:vAlign w:val="bottom"/>
          </w:tcPr>
          <w:p w14:paraId="53680904" w14:textId="77777777" w:rsidR="00C83994" w:rsidRDefault="00C83994" w:rsidP="00C83994">
            <w:pPr>
              <w:jc w:val="left"/>
              <w:rPr>
                <w:color w:val="000000"/>
                <w:sz w:val="16"/>
                <w:szCs w:val="16"/>
              </w:rPr>
            </w:pPr>
            <w:r>
              <w:rPr>
                <w:sz w:val="16"/>
                <w:szCs w:val="16"/>
              </w:rPr>
              <w:t>Business Availability Center Business Process Monitor Transactions Unlimited Locations SW E-LTU</w:t>
            </w:r>
          </w:p>
        </w:tc>
        <w:tc>
          <w:tcPr>
            <w:tcW w:w="954" w:type="dxa"/>
            <w:tcBorders>
              <w:top w:val="nil"/>
              <w:left w:val="nil"/>
              <w:bottom w:val="single" w:sz="8" w:space="0" w:color="000000"/>
              <w:right w:val="single" w:sz="8" w:space="0" w:color="000000"/>
            </w:tcBorders>
            <w:shd w:val="clear" w:color="auto" w:fill="auto"/>
            <w:vAlign w:val="bottom"/>
          </w:tcPr>
          <w:p w14:paraId="592EC1E2" w14:textId="77777777" w:rsidR="00C83994" w:rsidRDefault="00C83994" w:rsidP="00C83994">
            <w:pPr>
              <w:jc w:val="center"/>
              <w:rPr>
                <w:color w:val="000000"/>
              </w:rPr>
            </w:pPr>
            <w:r>
              <w:rPr>
                <w:sz w:val="16"/>
                <w:szCs w:val="16"/>
              </w:rPr>
              <w:t>70</w:t>
            </w:r>
          </w:p>
        </w:tc>
        <w:tc>
          <w:tcPr>
            <w:tcW w:w="1325" w:type="dxa"/>
            <w:tcBorders>
              <w:top w:val="nil"/>
              <w:left w:val="nil"/>
              <w:bottom w:val="single" w:sz="4" w:space="0" w:color="000000"/>
              <w:right w:val="single" w:sz="4" w:space="0" w:color="000000"/>
            </w:tcBorders>
            <w:shd w:val="clear" w:color="auto" w:fill="FFFFFF"/>
            <w:vAlign w:val="bottom"/>
          </w:tcPr>
          <w:p w14:paraId="71D0D65D" w14:textId="79F43306" w:rsidR="00C83994" w:rsidRDefault="00C83994" w:rsidP="005A16DB">
            <w:pPr>
              <w:jc w:val="center"/>
              <w:rPr>
                <w:rFonts w:ascii="Calibri" w:eastAsia="Calibri" w:hAnsi="Calibri" w:cs="Calibri"/>
                <w:sz w:val="22"/>
                <w:szCs w:val="22"/>
              </w:rPr>
            </w:pPr>
            <w:r>
              <w:rPr>
                <w:rFonts w:ascii="Calibri" w:hAnsi="Calibri" w:cs="Calibri"/>
                <w:color w:val="000000"/>
                <w:sz w:val="22"/>
                <w:szCs w:val="22"/>
              </w:rPr>
              <w:t>988 301 Kč</w:t>
            </w:r>
          </w:p>
        </w:tc>
        <w:tc>
          <w:tcPr>
            <w:tcW w:w="3218" w:type="dxa"/>
            <w:tcBorders>
              <w:top w:val="nil"/>
              <w:left w:val="nil"/>
              <w:bottom w:val="single" w:sz="4" w:space="0" w:color="000000"/>
              <w:right w:val="single" w:sz="8" w:space="0" w:color="000000"/>
            </w:tcBorders>
            <w:shd w:val="clear" w:color="auto" w:fill="auto"/>
            <w:vAlign w:val="bottom"/>
          </w:tcPr>
          <w:p w14:paraId="73BC90C3" w14:textId="28565F39" w:rsidR="00C83994" w:rsidRDefault="00C83994">
            <w:pPr>
              <w:jc w:val="center"/>
              <w:rPr>
                <w:rFonts w:ascii="Calibri" w:eastAsia="Calibri" w:hAnsi="Calibri" w:cs="Calibri"/>
                <w:sz w:val="22"/>
                <w:szCs w:val="22"/>
              </w:rPr>
            </w:pPr>
            <w:r>
              <w:rPr>
                <w:rFonts w:ascii="Calibri" w:hAnsi="Calibri" w:cs="Calibri"/>
                <w:color w:val="000000"/>
                <w:sz w:val="22"/>
                <w:szCs w:val="22"/>
              </w:rPr>
              <w:t>2 964 903 Kč</w:t>
            </w:r>
          </w:p>
        </w:tc>
      </w:tr>
      <w:tr w:rsidR="00C83994" w14:paraId="7F351935" w14:textId="77777777" w:rsidTr="005A16DB">
        <w:trPr>
          <w:trHeight w:val="414"/>
          <w:jc w:val="center"/>
        </w:trPr>
        <w:tc>
          <w:tcPr>
            <w:tcW w:w="3105" w:type="dxa"/>
            <w:tcBorders>
              <w:top w:val="nil"/>
              <w:left w:val="single" w:sz="8" w:space="0" w:color="000000"/>
              <w:bottom w:val="single" w:sz="8" w:space="0" w:color="000000"/>
              <w:right w:val="single" w:sz="8" w:space="0" w:color="000000"/>
            </w:tcBorders>
            <w:shd w:val="clear" w:color="auto" w:fill="auto"/>
            <w:vAlign w:val="bottom"/>
          </w:tcPr>
          <w:p w14:paraId="42ED801B" w14:textId="77777777" w:rsidR="00C83994" w:rsidRDefault="00C83994" w:rsidP="00C83994">
            <w:pPr>
              <w:jc w:val="left"/>
              <w:rPr>
                <w:color w:val="000000"/>
                <w:sz w:val="16"/>
                <w:szCs w:val="16"/>
              </w:rPr>
            </w:pPr>
            <w:r>
              <w:rPr>
                <w:color w:val="000000"/>
                <w:sz w:val="16"/>
                <w:szCs w:val="16"/>
              </w:rPr>
              <w:t>SP-AK419</w:t>
            </w:r>
          </w:p>
        </w:tc>
        <w:tc>
          <w:tcPr>
            <w:tcW w:w="1968" w:type="dxa"/>
            <w:tcBorders>
              <w:top w:val="nil"/>
              <w:left w:val="nil"/>
              <w:bottom w:val="single" w:sz="8" w:space="0" w:color="000000"/>
              <w:right w:val="single" w:sz="8" w:space="0" w:color="000000"/>
            </w:tcBorders>
            <w:shd w:val="clear" w:color="auto" w:fill="auto"/>
            <w:vAlign w:val="bottom"/>
          </w:tcPr>
          <w:p w14:paraId="2C58643A" w14:textId="77777777" w:rsidR="00C83994" w:rsidRDefault="00C83994" w:rsidP="00C83994">
            <w:pPr>
              <w:jc w:val="left"/>
              <w:rPr>
                <w:color w:val="000000"/>
                <w:sz w:val="16"/>
                <w:szCs w:val="16"/>
              </w:rPr>
            </w:pPr>
            <w:r>
              <w:rPr>
                <w:sz w:val="16"/>
                <w:szCs w:val="16"/>
              </w:rPr>
              <w:t>SiteScope per Point SW E-LTU</w:t>
            </w:r>
          </w:p>
        </w:tc>
        <w:tc>
          <w:tcPr>
            <w:tcW w:w="954" w:type="dxa"/>
            <w:tcBorders>
              <w:top w:val="nil"/>
              <w:left w:val="nil"/>
              <w:bottom w:val="single" w:sz="8" w:space="0" w:color="000000"/>
              <w:right w:val="single" w:sz="8" w:space="0" w:color="000000"/>
            </w:tcBorders>
            <w:shd w:val="clear" w:color="auto" w:fill="auto"/>
            <w:vAlign w:val="bottom"/>
          </w:tcPr>
          <w:p w14:paraId="5609C56F" w14:textId="77777777" w:rsidR="00C83994" w:rsidRDefault="00C83994" w:rsidP="00C83994">
            <w:pPr>
              <w:jc w:val="center"/>
              <w:rPr>
                <w:color w:val="000000"/>
              </w:rPr>
            </w:pPr>
            <w:r>
              <w:rPr>
                <w:sz w:val="16"/>
                <w:szCs w:val="16"/>
              </w:rPr>
              <w:t>200</w:t>
            </w:r>
          </w:p>
        </w:tc>
        <w:tc>
          <w:tcPr>
            <w:tcW w:w="1325" w:type="dxa"/>
            <w:tcBorders>
              <w:top w:val="nil"/>
              <w:left w:val="nil"/>
              <w:bottom w:val="single" w:sz="4" w:space="0" w:color="000000"/>
              <w:right w:val="single" w:sz="4" w:space="0" w:color="000000"/>
            </w:tcBorders>
            <w:shd w:val="clear" w:color="auto" w:fill="FFFFFF"/>
            <w:vAlign w:val="bottom"/>
          </w:tcPr>
          <w:p w14:paraId="4FE80E49" w14:textId="148FDE42" w:rsidR="00C83994" w:rsidRDefault="00C83994" w:rsidP="005A16DB">
            <w:pPr>
              <w:jc w:val="center"/>
              <w:rPr>
                <w:rFonts w:ascii="Calibri" w:eastAsia="Calibri" w:hAnsi="Calibri" w:cs="Calibri"/>
                <w:sz w:val="22"/>
                <w:szCs w:val="22"/>
              </w:rPr>
            </w:pPr>
            <w:r>
              <w:rPr>
                <w:rFonts w:ascii="Calibri" w:hAnsi="Calibri" w:cs="Calibri"/>
                <w:color w:val="000000"/>
                <w:sz w:val="22"/>
                <w:szCs w:val="22"/>
              </w:rPr>
              <w:t>74 171 Kč</w:t>
            </w:r>
          </w:p>
        </w:tc>
        <w:tc>
          <w:tcPr>
            <w:tcW w:w="3218" w:type="dxa"/>
            <w:tcBorders>
              <w:top w:val="nil"/>
              <w:left w:val="nil"/>
              <w:bottom w:val="single" w:sz="4" w:space="0" w:color="000000"/>
              <w:right w:val="single" w:sz="8" w:space="0" w:color="000000"/>
            </w:tcBorders>
            <w:shd w:val="clear" w:color="auto" w:fill="auto"/>
            <w:vAlign w:val="bottom"/>
          </w:tcPr>
          <w:p w14:paraId="1478F3FE" w14:textId="6E4E4791" w:rsidR="00C83994" w:rsidRDefault="00C83994">
            <w:pPr>
              <w:jc w:val="center"/>
              <w:rPr>
                <w:rFonts w:ascii="Calibri" w:eastAsia="Calibri" w:hAnsi="Calibri" w:cs="Calibri"/>
                <w:sz w:val="22"/>
                <w:szCs w:val="22"/>
              </w:rPr>
            </w:pPr>
            <w:r>
              <w:rPr>
                <w:rFonts w:ascii="Calibri" w:hAnsi="Calibri" w:cs="Calibri"/>
                <w:color w:val="000000"/>
                <w:sz w:val="22"/>
                <w:szCs w:val="22"/>
              </w:rPr>
              <w:t>222 513 Kč</w:t>
            </w:r>
          </w:p>
        </w:tc>
      </w:tr>
      <w:tr w:rsidR="00C83994" w14:paraId="17C2CA2D" w14:textId="77777777" w:rsidTr="005A16DB">
        <w:trPr>
          <w:trHeight w:val="414"/>
          <w:jc w:val="center"/>
        </w:trPr>
        <w:tc>
          <w:tcPr>
            <w:tcW w:w="3105" w:type="dxa"/>
            <w:tcBorders>
              <w:top w:val="nil"/>
              <w:left w:val="single" w:sz="8" w:space="0" w:color="000000"/>
              <w:bottom w:val="single" w:sz="8" w:space="0" w:color="000000"/>
              <w:right w:val="single" w:sz="8" w:space="0" w:color="000000"/>
            </w:tcBorders>
            <w:shd w:val="clear" w:color="auto" w:fill="auto"/>
            <w:vAlign w:val="bottom"/>
          </w:tcPr>
          <w:p w14:paraId="33150077" w14:textId="77777777" w:rsidR="00C83994" w:rsidRDefault="00C83994" w:rsidP="00C83994">
            <w:pPr>
              <w:jc w:val="left"/>
              <w:rPr>
                <w:color w:val="000000"/>
                <w:sz w:val="16"/>
                <w:szCs w:val="16"/>
              </w:rPr>
            </w:pPr>
            <w:r>
              <w:rPr>
                <w:color w:val="000000"/>
                <w:sz w:val="16"/>
                <w:szCs w:val="16"/>
              </w:rPr>
              <w:t>SP-AJ998</w:t>
            </w:r>
          </w:p>
        </w:tc>
        <w:tc>
          <w:tcPr>
            <w:tcW w:w="1968" w:type="dxa"/>
            <w:tcBorders>
              <w:top w:val="nil"/>
              <w:left w:val="nil"/>
              <w:bottom w:val="single" w:sz="8" w:space="0" w:color="000000"/>
              <w:right w:val="single" w:sz="8" w:space="0" w:color="000000"/>
            </w:tcBorders>
            <w:shd w:val="clear" w:color="auto" w:fill="auto"/>
            <w:vAlign w:val="bottom"/>
          </w:tcPr>
          <w:p w14:paraId="47BF9299" w14:textId="77777777" w:rsidR="00C83994" w:rsidRDefault="00C83994" w:rsidP="00C83994">
            <w:pPr>
              <w:jc w:val="left"/>
              <w:rPr>
                <w:color w:val="000000"/>
                <w:sz w:val="16"/>
                <w:szCs w:val="16"/>
              </w:rPr>
            </w:pPr>
            <w:r>
              <w:rPr>
                <w:sz w:val="16"/>
                <w:szCs w:val="16"/>
              </w:rPr>
              <w:t>Network Node Manager i Premium Edition per pack of 50 Nodes SW E-LTU</w:t>
            </w:r>
          </w:p>
        </w:tc>
        <w:tc>
          <w:tcPr>
            <w:tcW w:w="954" w:type="dxa"/>
            <w:tcBorders>
              <w:top w:val="nil"/>
              <w:left w:val="nil"/>
              <w:bottom w:val="single" w:sz="8" w:space="0" w:color="000000"/>
              <w:right w:val="single" w:sz="8" w:space="0" w:color="000000"/>
            </w:tcBorders>
            <w:shd w:val="clear" w:color="auto" w:fill="auto"/>
            <w:vAlign w:val="bottom"/>
          </w:tcPr>
          <w:p w14:paraId="1B67C85B" w14:textId="77777777" w:rsidR="00C83994" w:rsidRDefault="00C83994" w:rsidP="00C83994">
            <w:pPr>
              <w:jc w:val="center"/>
              <w:rPr>
                <w:color w:val="000000"/>
              </w:rPr>
            </w:pPr>
            <w:r>
              <w:rPr>
                <w:sz w:val="16"/>
                <w:szCs w:val="16"/>
              </w:rPr>
              <w:t>20</w:t>
            </w:r>
          </w:p>
        </w:tc>
        <w:tc>
          <w:tcPr>
            <w:tcW w:w="1325" w:type="dxa"/>
            <w:tcBorders>
              <w:top w:val="nil"/>
              <w:left w:val="nil"/>
              <w:bottom w:val="single" w:sz="4" w:space="0" w:color="000000"/>
              <w:right w:val="single" w:sz="4" w:space="0" w:color="000000"/>
            </w:tcBorders>
            <w:shd w:val="clear" w:color="auto" w:fill="FFFFFF"/>
            <w:vAlign w:val="bottom"/>
          </w:tcPr>
          <w:p w14:paraId="777E1D8D" w14:textId="4C1C6B5A" w:rsidR="00C83994" w:rsidRDefault="00C83994" w:rsidP="005A16DB">
            <w:pPr>
              <w:jc w:val="center"/>
              <w:rPr>
                <w:rFonts w:ascii="Calibri" w:eastAsia="Calibri" w:hAnsi="Calibri" w:cs="Calibri"/>
                <w:sz w:val="22"/>
                <w:szCs w:val="22"/>
              </w:rPr>
            </w:pPr>
            <w:r>
              <w:rPr>
                <w:rFonts w:ascii="Calibri" w:hAnsi="Calibri" w:cs="Calibri"/>
                <w:color w:val="000000"/>
                <w:sz w:val="22"/>
                <w:szCs w:val="22"/>
              </w:rPr>
              <w:t>367 738 Kč</w:t>
            </w:r>
          </w:p>
        </w:tc>
        <w:tc>
          <w:tcPr>
            <w:tcW w:w="3218" w:type="dxa"/>
            <w:tcBorders>
              <w:top w:val="nil"/>
              <w:left w:val="nil"/>
              <w:bottom w:val="single" w:sz="4" w:space="0" w:color="000000"/>
              <w:right w:val="single" w:sz="8" w:space="0" w:color="000000"/>
            </w:tcBorders>
            <w:shd w:val="clear" w:color="auto" w:fill="auto"/>
            <w:vAlign w:val="bottom"/>
          </w:tcPr>
          <w:p w14:paraId="3C40A9E7" w14:textId="794F4843" w:rsidR="00C83994" w:rsidRDefault="00C83994">
            <w:pPr>
              <w:jc w:val="center"/>
              <w:rPr>
                <w:rFonts w:ascii="Calibri" w:eastAsia="Calibri" w:hAnsi="Calibri" w:cs="Calibri"/>
                <w:sz w:val="22"/>
                <w:szCs w:val="22"/>
              </w:rPr>
            </w:pPr>
            <w:r>
              <w:rPr>
                <w:rFonts w:ascii="Calibri" w:hAnsi="Calibri" w:cs="Calibri"/>
                <w:color w:val="000000"/>
                <w:sz w:val="22"/>
                <w:szCs w:val="22"/>
              </w:rPr>
              <w:t>1 103 214 Kč</w:t>
            </w:r>
          </w:p>
        </w:tc>
      </w:tr>
      <w:tr w:rsidR="00C83994" w14:paraId="5DE810E2" w14:textId="77777777" w:rsidTr="005A16DB">
        <w:trPr>
          <w:trHeight w:val="414"/>
          <w:jc w:val="center"/>
        </w:trPr>
        <w:tc>
          <w:tcPr>
            <w:tcW w:w="3105" w:type="dxa"/>
            <w:tcBorders>
              <w:top w:val="nil"/>
              <w:left w:val="single" w:sz="8" w:space="0" w:color="000000"/>
              <w:bottom w:val="single" w:sz="8" w:space="0" w:color="000000"/>
              <w:right w:val="single" w:sz="8" w:space="0" w:color="000000"/>
            </w:tcBorders>
            <w:shd w:val="clear" w:color="auto" w:fill="auto"/>
            <w:vAlign w:val="bottom"/>
          </w:tcPr>
          <w:p w14:paraId="26D2F039" w14:textId="77777777" w:rsidR="00C83994" w:rsidRDefault="00C83994" w:rsidP="00C83994">
            <w:pPr>
              <w:jc w:val="left"/>
              <w:rPr>
                <w:color w:val="000000"/>
                <w:sz w:val="16"/>
                <w:szCs w:val="16"/>
              </w:rPr>
            </w:pPr>
            <w:r>
              <w:rPr>
                <w:color w:val="000000"/>
                <w:sz w:val="16"/>
                <w:szCs w:val="16"/>
              </w:rPr>
              <w:t>SP-AJ371</w:t>
            </w:r>
          </w:p>
        </w:tc>
        <w:tc>
          <w:tcPr>
            <w:tcW w:w="1968" w:type="dxa"/>
            <w:tcBorders>
              <w:top w:val="nil"/>
              <w:left w:val="nil"/>
              <w:bottom w:val="single" w:sz="8" w:space="0" w:color="000000"/>
              <w:right w:val="single" w:sz="8" w:space="0" w:color="000000"/>
            </w:tcBorders>
            <w:shd w:val="clear" w:color="auto" w:fill="auto"/>
            <w:vAlign w:val="bottom"/>
          </w:tcPr>
          <w:p w14:paraId="05568650" w14:textId="77777777" w:rsidR="00C83994" w:rsidRDefault="00C83994" w:rsidP="00C83994">
            <w:pPr>
              <w:jc w:val="left"/>
              <w:rPr>
                <w:color w:val="000000"/>
                <w:sz w:val="16"/>
                <w:szCs w:val="16"/>
              </w:rPr>
            </w:pPr>
            <w:r>
              <w:rPr>
                <w:sz w:val="16"/>
                <w:szCs w:val="16"/>
              </w:rPr>
              <w:t>Business Availability Center Systems Availability Management per Point SW E-LTU</w:t>
            </w:r>
          </w:p>
        </w:tc>
        <w:tc>
          <w:tcPr>
            <w:tcW w:w="954" w:type="dxa"/>
            <w:tcBorders>
              <w:top w:val="nil"/>
              <w:left w:val="nil"/>
              <w:bottom w:val="single" w:sz="8" w:space="0" w:color="000000"/>
              <w:right w:val="single" w:sz="8" w:space="0" w:color="000000"/>
            </w:tcBorders>
            <w:shd w:val="clear" w:color="auto" w:fill="auto"/>
            <w:vAlign w:val="bottom"/>
          </w:tcPr>
          <w:p w14:paraId="636B691A" w14:textId="77777777" w:rsidR="00C83994" w:rsidRDefault="00C83994" w:rsidP="00C83994">
            <w:pPr>
              <w:jc w:val="center"/>
              <w:rPr>
                <w:color w:val="000000"/>
              </w:rPr>
            </w:pPr>
            <w:r>
              <w:rPr>
                <w:sz w:val="16"/>
                <w:szCs w:val="16"/>
              </w:rPr>
              <w:t>200</w:t>
            </w:r>
          </w:p>
        </w:tc>
        <w:tc>
          <w:tcPr>
            <w:tcW w:w="1325" w:type="dxa"/>
            <w:tcBorders>
              <w:top w:val="nil"/>
              <w:left w:val="nil"/>
              <w:bottom w:val="single" w:sz="4" w:space="0" w:color="000000"/>
              <w:right w:val="single" w:sz="4" w:space="0" w:color="000000"/>
            </w:tcBorders>
            <w:shd w:val="clear" w:color="auto" w:fill="FFFFFF"/>
            <w:vAlign w:val="bottom"/>
          </w:tcPr>
          <w:p w14:paraId="2AABF392" w14:textId="71943A1B" w:rsidR="00C83994" w:rsidRDefault="00C83994" w:rsidP="005A16DB">
            <w:pPr>
              <w:jc w:val="center"/>
              <w:rPr>
                <w:rFonts w:ascii="Calibri" w:eastAsia="Calibri" w:hAnsi="Calibri" w:cs="Calibri"/>
                <w:sz w:val="22"/>
                <w:szCs w:val="22"/>
              </w:rPr>
            </w:pPr>
            <w:r>
              <w:rPr>
                <w:rFonts w:ascii="Calibri" w:hAnsi="Calibri" w:cs="Calibri"/>
                <w:color w:val="000000"/>
                <w:sz w:val="22"/>
                <w:szCs w:val="22"/>
              </w:rPr>
              <w:t>100 965 Kč</w:t>
            </w:r>
          </w:p>
        </w:tc>
        <w:tc>
          <w:tcPr>
            <w:tcW w:w="3218" w:type="dxa"/>
            <w:tcBorders>
              <w:top w:val="nil"/>
              <w:left w:val="nil"/>
              <w:bottom w:val="single" w:sz="4" w:space="0" w:color="000000"/>
              <w:right w:val="single" w:sz="8" w:space="0" w:color="000000"/>
            </w:tcBorders>
            <w:shd w:val="clear" w:color="auto" w:fill="auto"/>
            <w:vAlign w:val="bottom"/>
          </w:tcPr>
          <w:p w14:paraId="21ABFBD0" w14:textId="5AFDA20B" w:rsidR="00C83994" w:rsidRDefault="00C83994">
            <w:pPr>
              <w:jc w:val="center"/>
              <w:rPr>
                <w:rFonts w:ascii="Calibri" w:eastAsia="Calibri" w:hAnsi="Calibri" w:cs="Calibri"/>
                <w:sz w:val="22"/>
                <w:szCs w:val="22"/>
              </w:rPr>
            </w:pPr>
            <w:r>
              <w:rPr>
                <w:rFonts w:ascii="Calibri" w:hAnsi="Calibri" w:cs="Calibri"/>
                <w:color w:val="000000"/>
                <w:sz w:val="22"/>
                <w:szCs w:val="22"/>
              </w:rPr>
              <w:t>302 895 Kč</w:t>
            </w:r>
          </w:p>
        </w:tc>
      </w:tr>
      <w:tr w:rsidR="00C83994" w14:paraId="47BAC0BE" w14:textId="77777777" w:rsidTr="005A16DB">
        <w:trPr>
          <w:trHeight w:val="414"/>
          <w:jc w:val="center"/>
        </w:trPr>
        <w:tc>
          <w:tcPr>
            <w:tcW w:w="3105" w:type="dxa"/>
            <w:tcBorders>
              <w:top w:val="nil"/>
              <w:left w:val="single" w:sz="8" w:space="0" w:color="000000"/>
              <w:bottom w:val="single" w:sz="8" w:space="0" w:color="000000"/>
              <w:right w:val="single" w:sz="8" w:space="0" w:color="000000"/>
            </w:tcBorders>
            <w:shd w:val="clear" w:color="auto" w:fill="auto"/>
            <w:vAlign w:val="bottom"/>
          </w:tcPr>
          <w:p w14:paraId="2ADCA264" w14:textId="77777777" w:rsidR="00C83994" w:rsidRDefault="00C83994" w:rsidP="00C83994">
            <w:pPr>
              <w:jc w:val="left"/>
              <w:rPr>
                <w:color w:val="000000"/>
                <w:sz w:val="16"/>
                <w:szCs w:val="16"/>
              </w:rPr>
            </w:pPr>
            <w:r>
              <w:rPr>
                <w:color w:val="000000"/>
                <w:sz w:val="16"/>
                <w:szCs w:val="16"/>
              </w:rPr>
              <w:t>SP-AJ371</w:t>
            </w:r>
          </w:p>
        </w:tc>
        <w:tc>
          <w:tcPr>
            <w:tcW w:w="1968" w:type="dxa"/>
            <w:tcBorders>
              <w:top w:val="nil"/>
              <w:left w:val="nil"/>
              <w:bottom w:val="single" w:sz="8" w:space="0" w:color="000000"/>
              <w:right w:val="single" w:sz="8" w:space="0" w:color="000000"/>
            </w:tcBorders>
            <w:shd w:val="clear" w:color="auto" w:fill="auto"/>
            <w:vAlign w:val="bottom"/>
          </w:tcPr>
          <w:p w14:paraId="6D4EAC91" w14:textId="77777777" w:rsidR="00C83994" w:rsidRDefault="00C83994" w:rsidP="00C83994">
            <w:pPr>
              <w:jc w:val="left"/>
              <w:rPr>
                <w:color w:val="000000"/>
                <w:sz w:val="16"/>
                <w:szCs w:val="16"/>
              </w:rPr>
            </w:pPr>
            <w:r>
              <w:rPr>
                <w:sz w:val="16"/>
                <w:szCs w:val="16"/>
              </w:rPr>
              <w:t>Business Availability Center Systems Availability Management per Point SW E-LTU</w:t>
            </w:r>
          </w:p>
        </w:tc>
        <w:tc>
          <w:tcPr>
            <w:tcW w:w="954" w:type="dxa"/>
            <w:tcBorders>
              <w:top w:val="nil"/>
              <w:left w:val="nil"/>
              <w:bottom w:val="single" w:sz="8" w:space="0" w:color="000000"/>
              <w:right w:val="single" w:sz="8" w:space="0" w:color="000000"/>
            </w:tcBorders>
            <w:shd w:val="clear" w:color="auto" w:fill="auto"/>
            <w:vAlign w:val="bottom"/>
          </w:tcPr>
          <w:p w14:paraId="7E3F397F" w14:textId="77777777" w:rsidR="00C83994" w:rsidRDefault="00C83994" w:rsidP="00C83994">
            <w:pPr>
              <w:jc w:val="center"/>
              <w:rPr>
                <w:color w:val="000000"/>
              </w:rPr>
            </w:pPr>
            <w:r>
              <w:rPr>
                <w:sz w:val="16"/>
                <w:szCs w:val="16"/>
              </w:rPr>
              <w:t>100</w:t>
            </w:r>
          </w:p>
        </w:tc>
        <w:tc>
          <w:tcPr>
            <w:tcW w:w="1325" w:type="dxa"/>
            <w:tcBorders>
              <w:top w:val="nil"/>
              <w:left w:val="nil"/>
              <w:bottom w:val="single" w:sz="4" w:space="0" w:color="000000"/>
              <w:right w:val="single" w:sz="4" w:space="0" w:color="000000"/>
            </w:tcBorders>
            <w:shd w:val="clear" w:color="auto" w:fill="FFFFFF"/>
            <w:vAlign w:val="bottom"/>
          </w:tcPr>
          <w:p w14:paraId="5A8DC308" w14:textId="4F3E54AA" w:rsidR="00C83994" w:rsidRDefault="00C83994" w:rsidP="005A16DB">
            <w:pPr>
              <w:jc w:val="center"/>
              <w:rPr>
                <w:rFonts w:ascii="Calibri" w:eastAsia="Calibri" w:hAnsi="Calibri" w:cs="Calibri"/>
                <w:sz w:val="22"/>
                <w:szCs w:val="22"/>
              </w:rPr>
            </w:pPr>
            <w:r>
              <w:rPr>
                <w:rFonts w:ascii="Calibri" w:hAnsi="Calibri" w:cs="Calibri"/>
                <w:color w:val="000000"/>
                <w:sz w:val="22"/>
                <w:szCs w:val="22"/>
              </w:rPr>
              <w:t>50 483 Kč</w:t>
            </w:r>
          </w:p>
        </w:tc>
        <w:tc>
          <w:tcPr>
            <w:tcW w:w="3218" w:type="dxa"/>
            <w:tcBorders>
              <w:top w:val="nil"/>
              <w:left w:val="nil"/>
              <w:bottom w:val="single" w:sz="4" w:space="0" w:color="000000"/>
              <w:right w:val="single" w:sz="8" w:space="0" w:color="000000"/>
            </w:tcBorders>
            <w:shd w:val="clear" w:color="auto" w:fill="auto"/>
            <w:vAlign w:val="bottom"/>
          </w:tcPr>
          <w:p w14:paraId="0B7FFA87" w14:textId="2542E157" w:rsidR="00C83994" w:rsidRDefault="00C83994">
            <w:pPr>
              <w:jc w:val="center"/>
              <w:rPr>
                <w:rFonts w:ascii="Calibri" w:eastAsia="Calibri" w:hAnsi="Calibri" w:cs="Calibri"/>
                <w:sz w:val="22"/>
                <w:szCs w:val="22"/>
              </w:rPr>
            </w:pPr>
            <w:r>
              <w:rPr>
                <w:rFonts w:ascii="Calibri" w:hAnsi="Calibri" w:cs="Calibri"/>
                <w:color w:val="000000"/>
                <w:sz w:val="22"/>
                <w:szCs w:val="22"/>
              </w:rPr>
              <w:t>151 449 Kč</w:t>
            </w:r>
          </w:p>
        </w:tc>
      </w:tr>
      <w:tr w:rsidR="00C83994" w14:paraId="5BD325B2" w14:textId="77777777" w:rsidTr="005A16DB">
        <w:trPr>
          <w:trHeight w:val="414"/>
          <w:jc w:val="center"/>
        </w:trPr>
        <w:tc>
          <w:tcPr>
            <w:tcW w:w="3105" w:type="dxa"/>
            <w:tcBorders>
              <w:top w:val="nil"/>
              <w:left w:val="single" w:sz="8" w:space="0" w:color="000000"/>
              <w:bottom w:val="single" w:sz="8" w:space="0" w:color="000000"/>
              <w:right w:val="single" w:sz="8" w:space="0" w:color="000000"/>
            </w:tcBorders>
            <w:shd w:val="clear" w:color="auto" w:fill="auto"/>
            <w:vAlign w:val="bottom"/>
          </w:tcPr>
          <w:p w14:paraId="62811F99" w14:textId="77777777" w:rsidR="00C83994" w:rsidRDefault="00C83994" w:rsidP="00C83994">
            <w:pPr>
              <w:jc w:val="left"/>
              <w:rPr>
                <w:color w:val="000000"/>
                <w:sz w:val="16"/>
                <w:szCs w:val="16"/>
              </w:rPr>
            </w:pPr>
            <w:r>
              <w:rPr>
                <w:color w:val="000000"/>
                <w:sz w:val="16"/>
                <w:szCs w:val="16"/>
              </w:rPr>
              <w:t>SP-AG837</w:t>
            </w:r>
          </w:p>
        </w:tc>
        <w:tc>
          <w:tcPr>
            <w:tcW w:w="1968" w:type="dxa"/>
            <w:tcBorders>
              <w:top w:val="nil"/>
              <w:left w:val="nil"/>
              <w:bottom w:val="single" w:sz="8" w:space="0" w:color="000000"/>
              <w:right w:val="single" w:sz="8" w:space="0" w:color="000000"/>
            </w:tcBorders>
            <w:shd w:val="clear" w:color="auto" w:fill="auto"/>
            <w:vAlign w:val="bottom"/>
          </w:tcPr>
          <w:p w14:paraId="0EA623FA" w14:textId="77777777" w:rsidR="00C83994" w:rsidRDefault="00C83994" w:rsidP="00C83994">
            <w:pPr>
              <w:jc w:val="left"/>
              <w:rPr>
                <w:color w:val="000000"/>
                <w:sz w:val="16"/>
                <w:szCs w:val="16"/>
              </w:rPr>
            </w:pPr>
            <w:r>
              <w:rPr>
                <w:sz w:val="16"/>
                <w:szCs w:val="16"/>
              </w:rPr>
              <w:t>Operations Bridge System Collector 1 OSI Add-On for Migration SW E-LTU</w:t>
            </w:r>
          </w:p>
        </w:tc>
        <w:tc>
          <w:tcPr>
            <w:tcW w:w="954" w:type="dxa"/>
            <w:tcBorders>
              <w:top w:val="nil"/>
              <w:left w:val="nil"/>
              <w:bottom w:val="single" w:sz="8" w:space="0" w:color="000000"/>
              <w:right w:val="single" w:sz="8" w:space="0" w:color="000000"/>
            </w:tcBorders>
            <w:shd w:val="clear" w:color="auto" w:fill="auto"/>
            <w:vAlign w:val="bottom"/>
          </w:tcPr>
          <w:p w14:paraId="16BED6CF" w14:textId="77777777" w:rsidR="00C83994" w:rsidRDefault="00C83994" w:rsidP="00C83994">
            <w:pPr>
              <w:jc w:val="center"/>
              <w:rPr>
                <w:color w:val="000000"/>
              </w:rPr>
            </w:pPr>
            <w:r>
              <w:rPr>
                <w:sz w:val="16"/>
                <w:szCs w:val="16"/>
              </w:rPr>
              <w:t>221</w:t>
            </w:r>
          </w:p>
        </w:tc>
        <w:tc>
          <w:tcPr>
            <w:tcW w:w="1325" w:type="dxa"/>
            <w:tcBorders>
              <w:top w:val="nil"/>
              <w:left w:val="nil"/>
              <w:bottom w:val="single" w:sz="4" w:space="0" w:color="000000"/>
              <w:right w:val="single" w:sz="4" w:space="0" w:color="000000"/>
            </w:tcBorders>
            <w:shd w:val="clear" w:color="auto" w:fill="FFFFFF"/>
            <w:vAlign w:val="bottom"/>
          </w:tcPr>
          <w:p w14:paraId="32438463" w14:textId="11CB8972" w:rsidR="00C83994" w:rsidRDefault="00C83994" w:rsidP="005A16DB">
            <w:pPr>
              <w:jc w:val="center"/>
              <w:rPr>
                <w:rFonts w:ascii="Calibri" w:eastAsia="Calibri" w:hAnsi="Calibri" w:cs="Calibri"/>
                <w:sz w:val="22"/>
                <w:szCs w:val="22"/>
              </w:rPr>
            </w:pPr>
            <w:r>
              <w:rPr>
                <w:rFonts w:ascii="Calibri" w:hAnsi="Calibri" w:cs="Calibri"/>
                <w:color w:val="000000"/>
                <w:sz w:val="22"/>
                <w:szCs w:val="22"/>
              </w:rPr>
              <w:t>835 360 Kč</w:t>
            </w:r>
          </w:p>
        </w:tc>
        <w:tc>
          <w:tcPr>
            <w:tcW w:w="3218" w:type="dxa"/>
            <w:tcBorders>
              <w:top w:val="nil"/>
              <w:left w:val="nil"/>
              <w:bottom w:val="single" w:sz="4" w:space="0" w:color="000000"/>
              <w:right w:val="single" w:sz="8" w:space="0" w:color="000000"/>
            </w:tcBorders>
            <w:shd w:val="clear" w:color="auto" w:fill="auto"/>
            <w:vAlign w:val="bottom"/>
          </w:tcPr>
          <w:p w14:paraId="633AA4DA" w14:textId="48648ECA" w:rsidR="00C83994" w:rsidRDefault="00C83994">
            <w:pPr>
              <w:jc w:val="center"/>
              <w:rPr>
                <w:rFonts w:ascii="Calibri" w:eastAsia="Calibri" w:hAnsi="Calibri" w:cs="Calibri"/>
                <w:sz w:val="22"/>
                <w:szCs w:val="22"/>
              </w:rPr>
            </w:pPr>
            <w:r>
              <w:rPr>
                <w:rFonts w:ascii="Calibri" w:hAnsi="Calibri" w:cs="Calibri"/>
                <w:color w:val="000000"/>
                <w:sz w:val="22"/>
                <w:szCs w:val="22"/>
              </w:rPr>
              <w:t>2 506 080 Kč</w:t>
            </w:r>
          </w:p>
        </w:tc>
      </w:tr>
      <w:tr w:rsidR="00C83994" w14:paraId="046E0E1F" w14:textId="77777777" w:rsidTr="005A16DB">
        <w:trPr>
          <w:trHeight w:val="414"/>
          <w:jc w:val="center"/>
        </w:trPr>
        <w:tc>
          <w:tcPr>
            <w:tcW w:w="3105" w:type="dxa"/>
            <w:tcBorders>
              <w:top w:val="nil"/>
              <w:left w:val="single" w:sz="8" w:space="0" w:color="000000"/>
              <w:bottom w:val="single" w:sz="8" w:space="0" w:color="000000"/>
              <w:right w:val="single" w:sz="8" w:space="0" w:color="000000"/>
            </w:tcBorders>
            <w:shd w:val="clear" w:color="auto" w:fill="auto"/>
            <w:vAlign w:val="bottom"/>
          </w:tcPr>
          <w:p w14:paraId="4E5A0A16" w14:textId="77777777" w:rsidR="00C83994" w:rsidRDefault="00C83994" w:rsidP="00C83994">
            <w:pPr>
              <w:jc w:val="left"/>
              <w:rPr>
                <w:color w:val="000000"/>
                <w:sz w:val="16"/>
                <w:szCs w:val="16"/>
              </w:rPr>
            </w:pPr>
            <w:r>
              <w:rPr>
                <w:color w:val="000000"/>
                <w:sz w:val="16"/>
                <w:szCs w:val="16"/>
              </w:rPr>
              <w:t>SP-AG784</w:t>
            </w:r>
          </w:p>
        </w:tc>
        <w:tc>
          <w:tcPr>
            <w:tcW w:w="1968" w:type="dxa"/>
            <w:tcBorders>
              <w:top w:val="nil"/>
              <w:left w:val="nil"/>
              <w:bottom w:val="single" w:sz="8" w:space="0" w:color="000000"/>
              <w:right w:val="single" w:sz="8" w:space="0" w:color="000000"/>
            </w:tcBorders>
            <w:shd w:val="clear" w:color="auto" w:fill="auto"/>
            <w:vAlign w:val="bottom"/>
          </w:tcPr>
          <w:p w14:paraId="6F41C176" w14:textId="77777777" w:rsidR="00C83994" w:rsidRDefault="00C83994" w:rsidP="00C83994">
            <w:pPr>
              <w:jc w:val="left"/>
              <w:rPr>
                <w:color w:val="000000"/>
                <w:sz w:val="16"/>
                <w:szCs w:val="16"/>
              </w:rPr>
            </w:pPr>
            <w:r>
              <w:rPr>
                <w:sz w:val="16"/>
                <w:szCs w:val="16"/>
              </w:rPr>
              <w:t>Operations Bridge Suite Premium Edition 1 Node for Migration Compliance SW E-LTU</w:t>
            </w:r>
          </w:p>
        </w:tc>
        <w:tc>
          <w:tcPr>
            <w:tcW w:w="954" w:type="dxa"/>
            <w:tcBorders>
              <w:top w:val="nil"/>
              <w:left w:val="nil"/>
              <w:bottom w:val="single" w:sz="8" w:space="0" w:color="000000"/>
              <w:right w:val="single" w:sz="8" w:space="0" w:color="000000"/>
            </w:tcBorders>
            <w:shd w:val="clear" w:color="auto" w:fill="auto"/>
            <w:vAlign w:val="bottom"/>
          </w:tcPr>
          <w:p w14:paraId="48A7B30B" w14:textId="77777777" w:rsidR="00C83994" w:rsidRDefault="00C83994" w:rsidP="00C83994">
            <w:pPr>
              <w:jc w:val="center"/>
              <w:rPr>
                <w:color w:val="000000"/>
              </w:rPr>
            </w:pPr>
            <w:r>
              <w:rPr>
                <w:sz w:val="16"/>
                <w:szCs w:val="16"/>
              </w:rPr>
              <w:t>103</w:t>
            </w:r>
          </w:p>
        </w:tc>
        <w:tc>
          <w:tcPr>
            <w:tcW w:w="1325" w:type="dxa"/>
            <w:tcBorders>
              <w:top w:val="nil"/>
              <w:left w:val="nil"/>
              <w:bottom w:val="single" w:sz="4" w:space="0" w:color="000000"/>
              <w:right w:val="single" w:sz="4" w:space="0" w:color="000000"/>
            </w:tcBorders>
            <w:shd w:val="clear" w:color="auto" w:fill="FFFFFF"/>
            <w:vAlign w:val="bottom"/>
          </w:tcPr>
          <w:p w14:paraId="648C8B7B" w14:textId="54C6B3F2" w:rsidR="00C83994" w:rsidRDefault="00C83994" w:rsidP="005A16DB">
            <w:pPr>
              <w:jc w:val="center"/>
              <w:rPr>
                <w:rFonts w:ascii="Calibri" w:eastAsia="Calibri" w:hAnsi="Calibri" w:cs="Calibri"/>
                <w:sz w:val="22"/>
                <w:szCs w:val="22"/>
              </w:rPr>
            </w:pPr>
            <w:r>
              <w:rPr>
                <w:rFonts w:ascii="Calibri" w:hAnsi="Calibri" w:cs="Calibri"/>
                <w:color w:val="000000"/>
                <w:sz w:val="22"/>
                <w:szCs w:val="22"/>
              </w:rPr>
              <w:t>0 Kč</w:t>
            </w:r>
          </w:p>
        </w:tc>
        <w:tc>
          <w:tcPr>
            <w:tcW w:w="3218" w:type="dxa"/>
            <w:tcBorders>
              <w:top w:val="nil"/>
              <w:left w:val="nil"/>
              <w:bottom w:val="single" w:sz="4" w:space="0" w:color="000000"/>
              <w:right w:val="single" w:sz="8" w:space="0" w:color="000000"/>
            </w:tcBorders>
            <w:shd w:val="clear" w:color="auto" w:fill="auto"/>
            <w:vAlign w:val="bottom"/>
          </w:tcPr>
          <w:p w14:paraId="7ECFC964" w14:textId="65F23F93" w:rsidR="00C83994" w:rsidRDefault="00C83994">
            <w:pPr>
              <w:jc w:val="center"/>
              <w:rPr>
                <w:rFonts w:ascii="Calibri" w:eastAsia="Calibri" w:hAnsi="Calibri" w:cs="Calibri"/>
                <w:sz w:val="22"/>
                <w:szCs w:val="22"/>
              </w:rPr>
            </w:pPr>
            <w:r>
              <w:rPr>
                <w:rFonts w:ascii="Calibri" w:hAnsi="Calibri" w:cs="Calibri"/>
                <w:color w:val="000000"/>
                <w:sz w:val="22"/>
                <w:szCs w:val="22"/>
              </w:rPr>
              <w:t>0 Kč</w:t>
            </w:r>
          </w:p>
        </w:tc>
      </w:tr>
      <w:tr w:rsidR="00C83994" w14:paraId="357C0B62" w14:textId="77777777" w:rsidTr="005A16DB">
        <w:trPr>
          <w:trHeight w:val="414"/>
          <w:jc w:val="center"/>
        </w:trPr>
        <w:tc>
          <w:tcPr>
            <w:tcW w:w="3105" w:type="dxa"/>
            <w:tcBorders>
              <w:top w:val="nil"/>
              <w:left w:val="single" w:sz="8" w:space="0" w:color="000000"/>
              <w:bottom w:val="single" w:sz="8" w:space="0" w:color="000000"/>
              <w:right w:val="single" w:sz="8" w:space="0" w:color="000000"/>
            </w:tcBorders>
            <w:shd w:val="clear" w:color="auto" w:fill="auto"/>
            <w:vAlign w:val="bottom"/>
          </w:tcPr>
          <w:p w14:paraId="0D207A6E" w14:textId="77777777" w:rsidR="00C83994" w:rsidRDefault="00C83994" w:rsidP="00C83994">
            <w:pPr>
              <w:jc w:val="left"/>
              <w:rPr>
                <w:color w:val="000000"/>
                <w:sz w:val="16"/>
                <w:szCs w:val="16"/>
              </w:rPr>
            </w:pPr>
            <w:r>
              <w:rPr>
                <w:color w:val="000000"/>
                <w:sz w:val="16"/>
                <w:szCs w:val="16"/>
              </w:rPr>
              <w:t>SP-AG785</w:t>
            </w:r>
          </w:p>
        </w:tc>
        <w:tc>
          <w:tcPr>
            <w:tcW w:w="1968" w:type="dxa"/>
            <w:tcBorders>
              <w:top w:val="nil"/>
              <w:left w:val="nil"/>
              <w:bottom w:val="single" w:sz="8" w:space="0" w:color="000000"/>
              <w:right w:val="single" w:sz="8" w:space="0" w:color="000000"/>
            </w:tcBorders>
            <w:shd w:val="clear" w:color="auto" w:fill="auto"/>
            <w:vAlign w:val="bottom"/>
          </w:tcPr>
          <w:p w14:paraId="32058629" w14:textId="77777777" w:rsidR="00C83994" w:rsidRDefault="00C83994" w:rsidP="00C83994">
            <w:pPr>
              <w:jc w:val="left"/>
              <w:rPr>
                <w:color w:val="000000"/>
                <w:sz w:val="16"/>
                <w:szCs w:val="16"/>
              </w:rPr>
            </w:pPr>
            <w:r>
              <w:rPr>
                <w:sz w:val="16"/>
                <w:szCs w:val="16"/>
              </w:rPr>
              <w:t>Operations Bridge Suite Premium Edition 1 Node for Migration SW E-LTU</w:t>
            </w:r>
          </w:p>
        </w:tc>
        <w:tc>
          <w:tcPr>
            <w:tcW w:w="954" w:type="dxa"/>
            <w:tcBorders>
              <w:top w:val="nil"/>
              <w:left w:val="nil"/>
              <w:bottom w:val="single" w:sz="8" w:space="0" w:color="000000"/>
              <w:right w:val="single" w:sz="8" w:space="0" w:color="000000"/>
            </w:tcBorders>
            <w:shd w:val="clear" w:color="auto" w:fill="auto"/>
            <w:vAlign w:val="bottom"/>
          </w:tcPr>
          <w:p w14:paraId="18F88F37" w14:textId="77777777" w:rsidR="00C83994" w:rsidRDefault="00C83994" w:rsidP="00C83994">
            <w:pPr>
              <w:jc w:val="center"/>
              <w:rPr>
                <w:color w:val="000000"/>
              </w:rPr>
            </w:pPr>
            <w:r>
              <w:rPr>
                <w:sz w:val="16"/>
                <w:szCs w:val="16"/>
              </w:rPr>
              <w:t>221</w:t>
            </w:r>
          </w:p>
        </w:tc>
        <w:tc>
          <w:tcPr>
            <w:tcW w:w="1325" w:type="dxa"/>
            <w:tcBorders>
              <w:top w:val="nil"/>
              <w:left w:val="nil"/>
              <w:bottom w:val="single" w:sz="4" w:space="0" w:color="000000"/>
              <w:right w:val="single" w:sz="4" w:space="0" w:color="000000"/>
            </w:tcBorders>
            <w:shd w:val="clear" w:color="auto" w:fill="FFFFFF"/>
            <w:vAlign w:val="bottom"/>
          </w:tcPr>
          <w:p w14:paraId="129AECED" w14:textId="197DE37D" w:rsidR="00C83994" w:rsidRDefault="00C83994" w:rsidP="005A16DB">
            <w:pPr>
              <w:jc w:val="center"/>
              <w:rPr>
                <w:rFonts w:ascii="Calibri" w:eastAsia="Calibri" w:hAnsi="Calibri" w:cs="Calibri"/>
                <w:sz w:val="22"/>
                <w:szCs w:val="22"/>
              </w:rPr>
            </w:pPr>
            <w:r>
              <w:rPr>
                <w:rFonts w:ascii="Calibri" w:hAnsi="Calibri" w:cs="Calibri"/>
                <w:color w:val="000000"/>
                <w:sz w:val="22"/>
                <w:szCs w:val="22"/>
              </w:rPr>
              <w:t>835 360 Kč</w:t>
            </w:r>
          </w:p>
        </w:tc>
        <w:tc>
          <w:tcPr>
            <w:tcW w:w="3218" w:type="dxa"/>
            <w:tcBorders>
              <w:top w:val="nil"/>
              <w:left w:val="nil"/>
              <w:bottom w:val="single" w:sz="4" w:space="0" w:color="000000"/>
              <w:right w:val="single" w:sz="8" w:space="0" w:color="000000"/>
            </w:tcBorders>
            <w:shd w:val="clear" w:color="auto" w:fill="auto"/>
            <w:vAlign w:val="bottom"/>
          </w:tcPr>
          <w:p w14:paraId="5C7FFF8F" w14:textId="0D8CFA45" w:rsidR="00C83994" w:rsidRDefault="00C83994">
            <w:pPr>
              <w:jc w:val="center"/>
              <w:rPr>
                <w:rFonts w:ascii="Calibri" w:eastAsia="Calibri" w:hAnsi="Calibri" w:cs="Calibri"/>
                <w:sz w:val="22"/>
                <w:szCs w:val="22"/>
              </w:rPr>
            </w:pPr>
            <w:r>
              <w:rPr>
                <w:rFonts w:ascii="Calibri" w:hAnsi="Calibri" w:cs="Calibri"/>
                <w:color w:val="000000"/>
                <w:sz w:val="22"/>
                <w:szCs w:val="22"/>
              </w:rPr>
              <w:t>2 506 080 Kč</w:t>
            </w:r>
          </w:p>
        </w:tc>
      </w:tr>
      <w:tr w:rsidR="00C83994" w14:paraId="2AE5992A" w14:textId="77777777" w:rsidTr="005A16DB">
        <w:trPr>
          <w:trHeight w:val="414"/>
          <w:jc w:val="center"/>
        </w:trPr>
        <w:tc>
          <w:tcPr>
            <w:tcW w:w="3105" w:type="dxa"/>
            <w:tcBorders>
              <w:top w:val="nil"/>
              <w:left w:val="single" w:sz="8" w:space="0" w:color="000000"/>
              <w:bottom w:val="single" w:sz="8" w:space="0" w:color="000000"/>
              <w:right w:val="single" w:sz="8" w:space="0" w:color="000000"/>
            </w:tcBorders>
            <w:shd w:val="clear" w:color="auto" w:fill="auto"/>
            <w:vAlign w:val="bottom"/>
          </w:tcPr>
          <w:p w14:paraId="72CD80CC" w14:textId="77777777" w:rsidR="00C83994" w:rsidRDefault="00C83994" w:rsidP="00C83994">
            <w:pPr>
              <w:jc w:val="left"/>
              <w:rPr>
                <w:color w:val="000000"/>
                <w:sz w:val="16"/>
                <w:szCs w:val="16"/>
              </w:rPr>
            </w:pPr>
            <w:r>
              <w:rPr>
                <w:color w:val="000000"/>
                <w:sz w:val="16"/>
                <w:szCs w:val="16"/>
              </w:rPr>
              <w:t>SP-AG838</w:t>
            </w:r>
          </w:p>
        </w:tc>
        <w:tc>
          <w:tcPr>
            <w:tcW w:w="1968" w:type="dxa"/>
            <w:tcBorders>
              <w:top w:val="nil"/>
              <w:left w:val="nil"/>
              <w:bottom w:val="single" w:sz="8" w:space="0" w:color="000000"/>
              <w:right w:val="single" w:sz="8" w:space="0" w:color="000000"/>
            </w:tcBorders>
            <w:shd w:val="clear" w:color="auto" w:fill="auto"/>
            <w:vAlign w:val="bottom"/>
          </w:tcPr>
          <w:p w14:paraId="50D2F5EA" w14:textId="77777777" w:rsidR="00C83994" w:rsidRDefault="00C83994" w:rsidP="00C83994">
            <w:pPr>
              <w:jc w:val="left"/>
              <w:rPr>
                <w:color w:val="000000"/>
                <w:sz w:val="16"/>
                <w:szCs w:val="16"/>
              </w:rPr>
            </w:pPr>
            <w:r>
              <w:rPr>
                <w:sz w:val="16"/>
                <w:szCs w:val="16"/>
              </w:rPr>
              <w:t>Operations Bridge System Collector 1 OSI for Migration Compliance SW E-LTU</w:t>
            </w:r>
          </w:p>
        </w:tc>
        <w:tc>
          <w:tcPr>
            <w:tcW w:w="954" w:type="dxa"/>
            <w:tcBorders>
              <w:top w:val="nil"/>
              <w:left w:val="nil"/>
              <w:bottom w:val="single" w:sz="8" w:space="0" w:color="000000"/>
              <w:right w:val="single" w:sz="8" w:space="0" w:color="000000"/>
            </w:tcBorders>
            <w:shd w:val="clear" w:color="auto" w:fill="auto"/>
            <w:vAlign w:val="bottom"/>
          </w:tcPr>
          <w:p w14:paraId="4830E9C0" w14:textId="77777777" w:rsidR="00C83994" w:rsidRDefault="00C83994" w:rsidP="00C83994">
            <w:pPr>
              <w:jc w:val="center"/>
              <w:rPr>
                <w:color w:val="000000"/>
              </w:rPr>
            </w:pPr>
            <w:r>
              <w:rPr>
                <w:sz w:val="16"/>
                <w:szCs w:val="16"/>
              </w:rPr>
              <w:t>103</w:t>
            </w:r>
          </w:p>
        </w:tc>
        <w:tc>
          <w:tcPr>
            <w:tcW w:w="1325" w:type="dxa"/>
            <w:tcBorders>
              <w:top w:val="nil"/>
              <w:left w:val="nil"/>
              <w:bottom w:val="single" w:sz="4" w:space="0" w:color="000000"/>
              <w:right w:val="single" w:sz="4" w:space="0" w:color="000000"/>
            </w:tcBorders>
            <w:shd w:val="clear" w:color="auto" w:fill="FFFFFF"/>
            <w:vAlign w:val="bottom"/>
          </w:tcPr>
          <w:p w14:paraId="17843921" w14:textId="7469E3F5" w:rsidR="00C83994" w:rsidRDefault="00C83994" w:rsidP="005A16DB">
            <w:pPr>
              <w:jc w:val="center"/>
              <w:rPr>
                <w:rFonts w:ascii="Calibri" w:eastAsia="Calibri" w:hAnsi="Calibri" w:cs="Calibri"/>
                <w:sz w:val="22"/>
                <w:szCs w:val="22"/>
              </w:rPr>
            </w:pPr>
            <w:r>
              <w:rPr>
                <w:rFonts w:ascii="Calibri" w:hAnsi="Calibri" w:cs="Calibri"/>
                <w:color w:val="000000"/>
                <w:sz w:val="22"/>
                <w:szCs w:val="22"/>
              </w:rPr>
              <w:t>0 Kč</w:t>
            </w:r>
          </w:p>
        </w:tc>
        <w:tc>
          <w:tcPr>
            <w:tcW w:w="3218" w:type="dxa"/>
            <w:tcBorders>
              <w:top w:val="nil"/>
              <w:left w:val="nil"/>
              <w:bottom w:val="single" w:sz="4" w:space="0" w:color="000000"/>
              <w:right w:val="single" w:sz="8" w:space="0" w:color="000000"/>
            </w:tcBorders>
            <w:shd w:val="clear" w:color="auto" w:fill="auto"/>
            <w:vAlign w:val="bottom"/>
          </w:tcPr>
          <w:p w14:paraId="46905A50" w14:textId="1D5B255E" w:rsidR="00C83994" w:rsidRDefault="00C83994">
            <w:pPr>
              <w:jc w:val="center"/>
              <w:rPr>
                <w:rFonts w:ascii="Calibri" w:eastAsia="Calibri" w:hAnsi="Calibri" w:cs="Calibri"/>
                <w:sz w:val="22"/>
                <w:szCs w:val="22"/>
              </w:rPr>
            </w:pPr>
            <w:r>
              <w:rPr>
                <w:rFonts w:ascii="Calibri" w:hAnsi="Calibri" w:cs="Calibri"/>
                <w:color w:val="000000"/>
                <w:sz w:val="22"/>
                <w:szCs w:val="22"/>
              </w:rPr>
              <w:t>0 Kč</w:t>
            </w:r>
          </w:p>
        </w:tc>
      </w:tr>
      <w:tr w:rsidR="001639DC" w14:paraId="46CD45AB" w14:textId="77777777">
        <w:trPr>
          <w:trHeight w:val="1158"/>
          <w:jc w:val="center"/>
        </w:trPr>
        <w:tc>
          <w:tcPr>
            <w:tcW w:w="3105" w:type="dxa"/>
            <w:tcBorders>
              <w:top w:val="nil"/>
              <w:left w:val="single" w:sz="8" w:space="0" w:color="000000"/>
              <w:bottom w:val="single" w:sz="8" w:space="0" w:color="000000"/>
              <w:right w:val="single" w:sz="4" w:space="0" w:color="000000"/>
            </w:tcBorders>
            <w:shd w:val="clear" w:color="auto" w:fill="auto"/>
            <w:vAlign w:val="center"/>
          </w:tcPr>
          <w:p w14:paraId="45319B87" w14:textId="77777777" w:rsidR="001639DC" w:rsidRDefault="00C83994">
            <w:pPr>
              <w:jc w:val="left"/>
              <w:rPr>
                <w:rFonts w:ascii="Calibri" w:eastAsia="Calibri" w:hAnsi="Calibri" w:cs="Calibri"/>
                <w:b/>
                <w:color w:val="000000"/>
                <w:sz w:val="22"/>
                <w:szCs w:val="22"/>
              </w:rPr>
            </w:pPr>
            <w:r>
              <w:rPr>
                <w:rFonts w:ascii="Calibri" w:eastAsia="Calibri" w:hAnsi="Calibri" w:cs="Calibri"/>
                <w:b/>
                <w:color w:val="000000"/>
                <w:sz w:val="22"/>
                <w:szCs w:val="22"/>
              </w:rPr>
              <w:t>Celková cena za poskytované plnění (v Kč bez DPH)</w:t>
            </w:r>
          </w:p>
        </w:tc>
        <w:tc>
          <w:tcPr>
            <w:tcW w:w="1968" w:type="dxa"/>
            <w:tcBorders>
              <w:top w:val="nil"/>
              <w:left w:val="nil"/>
              <w:bottom w:val="single" w:sz="8" w:space="0" w:color="000000"/>
              <w:right w:val="nil"/>
            </w:tcBorders>
            <w:shd w:val="clear" w:color="auto" w:fill="auto"/>
            <w:vAlign w:val="center"/>
          </w:tcPr>
          <w:p w14:paraId="1B285785" w14:textId="77777777" w:rsidR="001639DC" w:rsidRDefault="00C83994">
            <w:pPr>
              <w:jc w:val="left"/>
              <w:rPr>
                <w:rFonts w:ascii="Calibri" w:eastAsia="Calibri" w:hAnsi="Calibri" w:cs="Calibri"/>
                <w:color w:val="000000"/>
                <w:sz w:val="22"/>
                <w:szCs w:val="22"/>
              </w:rPr>
            </w:pPr>
            <w:r>
              <w:rPr>
                <w:rFonts w:ascii="Calibri" w:eastAsia="Calibri" w:hAnsi="Calibri" w:cs="Calibri"/>
                <w:color w:val="000000"/>
                <w:sz w:val="22"/>
                <w:szCs w:val="22"/>
              </w:rPr>
              <w:t> </w:t>
            </w:r>
          </w:p>
        </w:tc>
        <w:tc>
          <w:tcPr>
            <w:tcW w:w="954" w:type="dxa"/>
            <w:tcBorders>
              <w:top w:val="nil"/>
              <w:left w:val="nil"/>
              <w:bottom w:val="single" w:sz="8" w:space="0" w:color="000000"/>
              <w:right w:val="nil"/>
            </w:tcBorders>
            <w:shd w:val="clear" w:color="auto" w:fill="auto"/>
            <w:vAlign w:val="center"/>
          </w:tcPr>
          <w:p w14:paraId="75B25C1C" w14:textId="77777777" w:rsidR="001639DC" w:rsidRDefault="00C83994">
            <w:pPr>
              <w:jc w:val="left"/>
              <w:rPr>
                <w:rFonts w:ascii="Calibri" w:eastAsia="Calibri" w:hAnsi="Calibri" w:cs="Calibri"/>
                <w:color w:val="000000"/>
                <w:sz w:val="22"/>
                <w:szCs w:val="22"/>
              </w:rPr>
            </w:pPr>
            <w:r>
              <w:rPr>
                <w:rFonts w:ascii="Calibri" w:eastAsia="Calibri" w:hAnsi="Calibri" w:cs="Calibri"/>
                <w:color w:val="000000"/>
                <w:sz w:val="22"/>
                <w:szCs w:val="22"/>
              </w:rPr>
              <w:t> </w:t>
            </w:r>
          </w:p>
        </w:tc>
        <w:tc>
          <w:tcPr>
            <w:tcW w:w="1325" w:type="dxa"/>
            <w:tcBorders>
              <w:top w:val="single" w:sz="8" w:space="0" w:color="000000"/>
              <w:left w:val="nil"/>
              <w:bottom w:val="single" w:sz="8" w:space="0" w:color="000000"/>
              <w:right w:val="single" w:sz="4" w:space="0" w:color="000000"/>
            </w:tcBorders>
            <w:shd w:val="clear" w:color="auto" w:fill="auto"/>
            <w:vAlign w:val="center"/>
          </w:tcPr>
          <w:p w14:paraId="5684935C" w14:textId="77777777" w:rsidR="001639DC" w:rsidRDefault="00C83994">
            <w:pPr>
              <w:jc w:val="left"/>
              <w:rPr>
                <w:rFonts w:ascii="Calibri" w:eastAsia="Calibri" w:hAnsi="Calibri" w:cs="Calibri"/>
                <w:color w:val="000000"/>
                <w:sz w:val="22"/>
                <w:szCs w:val="22"/>
              </w:rPr>
            </w:pPr>
            <w:r>
              <w:rPr>
                <w:rFonts w:ascii="Calibri" w:eastAsia="Calibri" w:hAnsi="Calibri" w:cs="Calibri"/>
                <w:color w:val="000000"/>
                <w:sz w:val="22"/>
                <w:szCs w:val="22"/>
              </w:rPr>
              <w:t> </w:t>
            </w:r>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60D8F" w14:textId="77777777" w:rsidR="00C83994" w:rsidRDefault="00C83994">
            <w:pPr>
              <w:autoSpaceDN/>
              <w:jc w:val="center"/>
              <w:textAlignment w:val="auto"/>
              <w:rPr>
                <w:rFonts w:ascii="Calibri" w:hAnsi="Calibri" w:cs="Calibri"/>
                <w:color w:val="000000"/>
                <w:sz w:val="22"/>
                <w:szCs w:val="22"/>
              </w:rPr>
            </w:pPr>
            <w:r>
              <w:rPr>
                <w:rFonts w:ascii="Calibri" w:hAnsi="Calibri" w:cs="Calibri"/>
                <w:color w:val="000000"/>
                <w:sz w:val="22"/>
                <w:szCs w:val="22"/>
              </w:rPr>
              <w:t>10 603 848 Kč</w:t>
            </w:r>
          </w:p>
          <w:p w14:paraId="6412F852" w14:textId="4CB54843" w:rsidR="001639DC" w:rsidRDefault="001639DC">
            <w:pPr>
              <w:jc w:val="center"/>
              <w:rPr>
                <w:rFonts w:ascii="Calibri" w:eastAsia="Calibri" w:hAnsi="Calibri" w:cs="Calibri"/>
                <w:sz w:val="22"/>
                <w:szCs w:val="22"/>
              </w:rPr>
            </w:pPr>
          </w:p>
        </w:tc>
      </w:tr>
    </w:tbl>
    <w:p w14:paraId="4BF68FD4" w14:textId="77777777" w:rsidR="001639DC" w:rsidRDefault="001639DC">
      <w:pPr>
        <w:rPr>
          <w:highlight w:val="yellow"/>
        </w:rPr>
      </w:pPr>
    </w:p>
    <w:p w14:paraId="4CF8A8A2" w14:textId="77777777" w:rsidR="001639DC" w:rsidRDefault="001639DC">
      <w:pPr>
        <w:rPr>
          <w:highlight w:val="yellow"/>
        </w:rPr>
      </w:pPr>
    </w:p>
    <w:p w14:paraId="7A6A28EA" w14:textId="77777777" w:rsidR="001639DC" w:rsidRDefault="001639DC">
      <w:pPr>
        <w:rPr>
          <w:highlight w:val="yellow"/>
        </w:rPr>
      </w:pPr>
    </w:p>
    <w:p w14:paraId="55B07F95" w14:textId="77777777" w:rsidR="001639DC" w:rsidRDefault="001639DC">
      <w:pPr>
        <w:rPr>
          <w:highlight w:val="yellow"/>
        </w:rPr>
      </w:pPr>
    </w:p>
    <w:p w14:paraId="6F1B6A97" w14:textId="77777777" w:rsidR="001639DC" w:rsidRDefault="001639DC">
      <w:pPr>
        <w:rPr>
          <w:highlight w:val="yellow"/>
        </w:rPr>
      </w:pPr>
    </w:p>
    <w:p w14:paraId="09D51F8A" w14:textId="77777777" w:rsidR="001639DC" w:rsidRDefault="001639DC">
      <w:pPr>
        <w:rPr>
          <w:highlight w:val="yellow"/>
        </w:rPr>
      </w:pPr>
    </w:p>
    <w:p w14:paraId="5027AE33" w14:textId="77777777" w:rsidR="001639DC" w:rsidRDefault="001639DC">
      <w:pPr>
        <w:rPr>
          <w:highlight w:val="yellow"/>
        </w:rPr>
      </w:pPr>
    </w:p>
    <w:p w14:paraId="1D52B5CB" w14:textId="77777777" w:rsidR="001639DC" w:rsidRDefault="001639DC">
      <w:pPr>
        <w:rPr>
          <w:highlight w:val="yellow"/>
        </w:rPr>
      </w:pPr>
    </w:p>
    <w:p w14:paraId="0914E95E" w14:textId="77777777" w:rsidR="001639DC" w:rsidRDefault="001639DC">
      <w:pPr>
        <w:rPr>
          <w:highlight w:val="yellow"/>
        </w:rPr>
      </w:pPr>
    </w:p>
    <w:p w14:paraId="02496C9B" w14:textId="77777777" w:rsidR="001639DC" w:rsidRDefault="001639DC">
      <w:pPr>
        <w:rPr>
          <w:highlight w:val="yellow"/>
        </w:rPr>
      </w:pPr>
    </w:p>
    <w:p w14:paraId="55D8254A" w14:textId="61A20642" w:rsidR="001639DC" w:rsidRDefault="00C83994">
      <w:pPr>
        <w:pBdr>
          <w:top w:val="single" w:sz="4" w:space="2" w:color="000000"/>
          <w:left w:val="single" w:sz="4" w:space="4" w:color="000000"/>
          <w:bottom w:val="single" w:sz="4" w:space="2" w:color="000000"/>
          <w:right w:val="single" w:sz="4" w:space="4" w:color="000000"/>
        </w:pBdr>
        <w:shd w:val="clear" w:color="auto" w:fill="D9D9D9"/>
        <w:jc w:val="left"/>
        <w:rPr>
          <w:b/>
          <w:sz w:val="24"/>
        </w:rPr>
      </w:pPr>
      <w:r>
        <w:rPr>
          <w:b/>
          <w:smallCaps/>
        </w:rPr>
        <w:lastRenderedPageBreak/>
        <w:t xml:space="preserve">PŘÍLOHA Č. 3 – LICENČNÍ PODMÍNKY VÝROBCE </w:t>
      </w:r>
    </w:p>
    <w:p w14:paraId="601B5D74" w14:textId="77777777" w:rsidR="001639DC" w:rsidRDefault="001639DC">
      <w:pPr>
        <w:rPr>
          <w:highlight w:val="yellow"/>
        </w:rPr>
      </w:pPr>
    </w:p>
    <w:p w14:paraId="14DD0642" w14:textId="77777777" w:rsidR="001639DC" w:rsidRDefault="001639DC">
      <w:pPr>
        <w:rPr>
          <w:highlight w:val="yellow"/>
        </w:rPr>
      </w:pPr>
    </w:p>
    <w:p w14:paraId="7E45C0A7" w14:textId="77777777" w:rsidR="001639DC" w:rsidRDefault="00C83994">
      <w:pPr>
        <w:jc w:val="left"/>
      </w:pPr>
      <w:r>
        <w:t xml:space="preserve">Každý uvedený samostatný produkt se musí řídit licenčními podmínkami výrobce, které tvoří Přílohu č. 3 této Smlouvy a jsou též dostupné na adrese: </w:t>
      </w:r>
      <w:hyperlink r:id="rId20">
        <w:r>
          <w:rPr>
            <w:color w:val="1155CC"/>
            <w:u w:val="single"/>
          </w:rPr>
          <w:t>https://www.opentext.com/file_source/OpenText/en_US/PDF/End%20User%20License%20Agreement%20EULA%20Benelux.pdf</w:t>
        </w:r>
      </w:hyperlink>
      <w:r>
        <w:t xml:space="preserve"> </w:t>
      </w:r>
    </w:p>
    <w:p w14:paraId="54FCCD17" w14:textId="77777777" w:rsidR="001639DC" w:rsidRDefault="00C83994">
      <w:pPr>
        <w:spacing w:after="200" w:line="276" w:lineRule="auto"/>
        <w:jc w:val="left"/>
        <w:rPr>
          <w:highlight w:val="yellow"/>
        </w:rPr>
      </w:pPr>
      <w:r>
        <w:br w:type="page"/>
      </w:r>
    </w:p>
    <w:p w14:paraId="0154C01B" w14:textId="77777777" w:rsidR="001639DC" w:rsidRDefault="00C83994">
      <w:pPr>
        <w:spacing w:line="259" w:lineRule="auto"/>
        <w:ind w:left="-30" w:right="-56"/>
        <w:jc w:val="left"/>
      </w:pPr>
      <w:r>
        <w:rPr>
          <w:rFonts w:ascii="Calibri" w:eastAsia="Calibri" w:hAnsi="Calibri" w:cs="Calibri"/>
          <w:noProof/>
          <w:sz w:val="22"/>
          <w:szCs w:val="22"/>
        </w:rPr>
        <w:lastRenderedPageBreak/>
        <mc:AlternateContent>
          <mc:Choice Requires="wpg">
            <w:drawing>
              <wp:inline distT="0" distB="0" distL="0" distR="0" wp14:anchorId="3C40467B" wp14:editId="08DCA525">
                <wp:extent cx="6296040" cy="414401"/>
                <wp:effectExtent l="0" t="0" r="0" b="0"/>
                <wp:docPr id="25975" name="Skupina 25975" descr="OpenText logo"/>
                <wp:cNvGraphicFramePr/>
                <a:graphic xmlns:a="http://schemas.openxmlformats.org/drawingml/2006/main">
                  <a:graphicData uri="http://schemas.microsoft.com/office/word/2010/wordprocessingGroup">
                    <wpg:wgp>
                      <wpg:cNvGrpSpPr/>
                      <wpg:grpSpPr>
                        <a:xfrm>
                          <a:off x="0" y="0"/>
                          <a:ext cx="6296040" cy="414401"/>
                          <a:chOff x="2197975" y="3572800"/>
                          <a:chExt cx="6398525" cy="417200"/>
                        </a:xfrm>
                      </wpg:grpSpPr>
                      <wpg:grpSp>
                        <wpg:cNvPr id="1" name="Skupina 1"/>
                        <wpg:cNvGrpSpPr/>
                        <wpg:grpSpPr>
                          <a:xfrm>
                            <a:off x="2197980" y="3572800"/>
                            <a:ext cx="6398498" cy="417195"/>
                            <a:chOff x="0" y="0"/>
                            <a:chExt cx="6398498" cy="417195"/>
                          </a:xfrm>
                        </wpg:grpSpPr>
                        <wps:wsp>
                          <wps:cNvPr id="2" name="Obdélník 2"/>
                          <wps:cNvSpPr/>
                          <wps:spPr>
                            <a:xfrm>
                              <a:off x="0" y="0"/>
                              <a:ext cx="6296025" cy="414400"/>
                            </a:xfrm>
                            <a:prstGeom prst="rect">
                              <a:avLst/>
                            </a:prstGeom>
                            <a:noFill/>
                            <a:ln>
                              <a:noFill/>
                            </a:ln>
                          </wps:spPr>
                          <wps:txbx>
                            <w:txbxContent>
                              <w:p w14:paraId="0020718B" w14:textId="77777777" w:rsidR="001639DC" w:rsidRDefault="001639DC">
                                <w:pPr>
                                  <w:jc w:val="left"/>
                                  <w:textDirection w:val="btLr"/>
                                </w:pPr>
                              </w:p>
                            </w:txbxContent>
                          </wps:txbx>
                          <wps:bodyPr spcFirstLastPara="1" wrap="square" lIns="91425" tIns="91425" rIns="91425" bIns="91425" anchor="ctr" anchorCtr="0">
                            <a:noAutofit/>
                          </wps:bodyPr>
                        </wps:wsp>
                        <wps:wsp>
                          <wps:cNvPr id="3" name="Obdélník 3"/>
                          <wps:cNvSpPr/>
                          <wps:spPr>
                            <a:xfrm>
                              <a:off x="1785048" y="5556"/>
                              <a:ext cx="39914" cy="160084"/>
                            </a:xfrm>
                            <a:prstGeom prst="rect">
                              <a:avLst/>
                            </a:prstGeom>
                            <a:noFill/>
                            <a:ln>
                              <a:noFill/>
                            </a:ln>
                          </wps:spPr>
                          <wps:txbx>
                            <w:txbxContent>
                              <w:p w14:paraId="015FE32B" w14:textId="77777777" w:rsidR="001639DC" w:rsidRDefault="00C83994">
                                <w:pPr>
                                  <w:spacing w:after="160" w:line="258" w:lineRule="auto"/>
                                  <w:jc w:val="left"/>
                                  <w:textDirection w:val="btLr"/>
                                </w:pPr>
                                <w:r>
                                  <w:rPr>
                                    <w:rFonts w:eastAsia="Arial" w:cs="Arial"/>
                                    <w:color w:val="000000"/>
                                  </w:rPr>
                                  <w:t xml:space="preserve"> </w:t>
                                </w:r>
                              </w:p>
                            </w:txbxContent>
                          </wps:txbx>
                          <wps:bodyPr spcFirstLastPara="1" wrap="square" lIns="0" tIns="0" rIns="0" bIns="0" anchor="t" anchorCtr="0">
                            <a:noAutofit/>
                          </wps:bodyPr>
                        </wps:wsp>
                        <wps:wsp>
                          <wps:cNvPr id="4" name="Obdélník 4"/>
                          <wps:cNvSpPr/>
                          <wps:spPr>
                            <a:xfrm>
                              <a:off x="3703638" y="129222"/>
                              <a:ext cx="2694860" cy="207168"/>
                            </a:xfrm>
                            <a:prstGeom prst="rect">
                              <a:avLst/>
                            </a:prstGeom>
                            <a:noFill/>
                            <a:ln>
                              <a:noFill/>
                            </a:ln>
                          </wps:spPr>
                          <wps:txbx>
                            <w:txbxContent>
                              <w:p w14:paraId="473AFFF1" w14:textId="77777777" w:rsidR="001639DC" w:rsidRDefault="00C83994">
                                <w:pPr>
                                  <w:spacing w:after="160" w:line="258" w:lineRule="auto"/>
                                  <w:jc w:val="left"/>
                                  <w:textDirection w:val="btLr"/>
                                </w:pPr>
                                <w:r>
                                  <w:rPr>
                                    <w:rFonts w:eastAsia="Arial" w:cs="Arial"/>
                                    <w:b/>
                                    <w:color w:val="000000"/>
                                    <w:sz w:val="22"/>
                                  </w:rPr>
                                  <w:t>End User License Agreement (</w:t>
                                </w:r>
                              </w:p>
                            </w:txbxContent>
                          </wps:txbx>
                          <wps:bodyPr spcFirstLastPara="1" wrap="square" lIns="0" tIns="0" rIns="0" bIns="0" anchor="t" anchorCtr="0">
                            <a:noAutofit/>
                          </wps:bodyPr>
                        </wps:wsp>
                        <wps:wsp>
                          <wps:cNvPr id="5" name="Obdélník 5"/>
                          <wps:cNvSpPr/>
                          <wps:spPr>
                            <a:xfrm>
                              <a:off x="5733479" y="129222"/>
                              <a:ext cx="638998" cy="207168"/>
                            </a:xfrm>
                            <a:prstGeom prst="rect">
                              <a:avLst/>
                            </a:prstGeom>
                            <a:noFill/>
                            <a:ln>
                              <a:noFill/>
                            </a:ln>
                          </wps:spPr>
                          <wps:txbx>
                            <w:txbxContent>
                              <w:p w14:paraId="0F974D2F" w14:textId="77777777" w:rsidR="001639DC" w:rsidRDefault="00C83994">
                                <w:pPr>
                                  <w:spacing w:after="160" w:line="258" w:lineRule="auto"/>
                                  <w:jc w:val="left"/>
                                  <w:textDirection w:val="btLr"/>
                                </w:pPr>
                                <w:r>
                                  <w:rPr>
                                    <w:rFonts w:eastAsia="Arial" w:cs="Arial"/>
                                    <w:b/>
                                    <w:color w:val="000000"/>
                                    <w:sz w:val="22"/>
                                  </w:rPr>
                                  <w:t>Austria</w:t>
                                </w:r>
                              </w:p>
                            </w:txbxContent>
                          </wps:txbx>
                          <wps:bodyPr spcFirstLastPara="1" wrap="square" lIns="0" tIns="0" rIns="0" bIns="0" anchor="t" anchorCtr="0">
                            <a:noAutofit/>
                          </wps:bodyPr>
                        </wps:wsp>
                        <wps:wsp>
                          <wps:cNvPr id="6" name="Obdélník 6"/>
                          <wps:cNvSpPr/>
                          <wps:spPr>
                            <a:xfrm>
                              <a:off x="6212776" y="129222"/>
                              <a:ext cx="61873" cy="207168"/>
                            </a:xfrm>
                            <a:prstGeom prst="rect">
                              <a:avLst/>
                            </a:prstGeom>
                            <a:noFill/>
                            <a:ln>
                              <a:noFill/>
                            </a:ln>
                          </wps:spPr>
                          <wps:txbx>
                            <w:txbxContent>
                              <w:p w14:paraId="605120B3" w14:textId="77777777" w:rsidR="001639DC" w:rsidRDefault="00C83994">
                                <w:pPr>
                                  <w:spacing w:after="160" w:line="258" w:lineRule="auto"/>
                                  <w:jc w:val="left"/>
                                  <w:textDirection w:val="btLr"/>
                                </w:pPr>
                                <w:r>
                                  <w:rPr>
                                    <w:rFonts w:eastAsia="Arial" w:cs="Arial"/>
                                    <w:b/>
                                    <w:color w:val="000000"/>
                                    <w:sz w:val="22"/>
                                  </w:rPr>
                                  <w:t>)</w:t>
                                </w:r>
                              </w:p>
                            </w:txbxContent>
                          </wps:txbx>
                          <wps:bodyPr spcFirstLastPara="1" wrap="square" lIns="0" tIns="0" rIns="0" bIns="0" anchor="t" anchorCtr="0">
                            <a:noAutofit/>
                          </wps:bodyPr>
                        </wps:wsp>
                        <wps:wsp>
                          <wps:cNvPr id="7" name="Obdélník 7"/>
                          <wps:cNvSpPr/>
                          <wps:spPr>
                            <a:xfrm>
                              <a:off x="6257226" y="129222"/>
                              <a:ext cx="51621" cy="207168"/>
                            </a:xfrm>
                            <a:prstGeom prst="rect">
                              <a:avLst/>
                            </a:prstGeom>
                            <a:noFill/>
                            <a:ln>
                              <a:noFill/>
                            </a:ln>
                          </wps:spPr>
                          <wps:txbx>
                            <w:txbxContent>
                              <w:p w14:paraId="44D011C4" w14:textId="77777777" w:rsidR="001639DC" w:rsidRDefault="00C83994">
                                <w:pPr>
                                  <w:spacing w:after="160" w:line="258" w:lineRule="auto"/>
                                  <w:jc w:val="left"/>
                                  <w:textDirection w:val="btLr"/>
                                </w:pPr>
                                <w:r>
                                  <w:rPr>
                                    <w:rFonts w:eastAsia="Arial" w:cs="Arial"/>
                                    <w:b/>
                                    <w:color w:val="000000"/>
                                    <w:sz w:val="22"/>
                                  </w:rPr>
                                  <w:t xml:space="preserve"> </w:t>
                                </w:r>
                              </w:p>
                            </w:txbxContent>
                          </wps:txbx>
                          <wps:bodyPr spcFirstLastPara="1" wrap="square" lIns="0" tIns="0" rIns="0" bIns="0" anchor="t" anchorCtr="0">
                            <a:noAutofit/>
                          </wps:bodyPr>
                        </wps:wsp>
                        <wps:wsp>
                          <wps:cNvPr id="8" name="Volný tvar: obrazec 8"/>
                          <wps:cNvSpPr/>
                          <wps:spPr>
                            <a:xfrm>
                              <a:off x="0" y="408051"/>
                              <a:ext cx="6276341" cy="9144"/>
                            </a:xfrm>
                            <a:custGeom>
                              <a:avLst/>
                              <a:gdLst/>
                              <a:ahLst/>
                              <a:cxnLst/>
                              <a:rect l="l" t="t" r="r" b="b"/>
                              <a:pathLst>
                                <a:path w="6276341" h="9144" extrusionOk="0">
                                  <a:moveTo>
                                    <a:pt x="0" y="0"/>
                                  </a:moveTo>
                                  <a:lnTo>
                                    <a:pt x="6276341" y="0"/>
                                  </a:lnTo>
                                  <a:lnTo>
                                    <a:pt x="6276341" y="9144"/>
                                  </a:lnTo>
                                  <a:lnTo>
                                    <a:pt x="0" y="9144"/>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21">
                              <a:alphaModFix/>
                            </a:blip>
                            <a:srcRect/>
                            <a:stretch/>
                          </pic:blipFill>
                          <pic:spPr>
                            <a:xfrm>
                              <a:off x="18097" y="0"/>
                              <a:ext cx="1664335" cy="314960"/>
                            </a:xfrm>
                            <a:prstGeom prst="rect">
                              <a:avLst/>
                            </a:prstGeom>
                            <a:noFill/>
                            <a:ln>
                              <a:noFill/>
                            </a:ln>
                          </pic:spPr>
                        </pic:pic>
                      </wpg:grpSp>
                    </wpg:wgp>
                  </a:graphicData>
                </a:graphic>
              </wp:inline>
            </w:drawing>
          </mc:Choice>
          <mc:Fallback>
            <w:pict>
              <v:group w14:anchorId="3C40467B" id="Skupina 25975" o:spid="_x0000_s1026" alt="OpenText logo" style="width:495.75pt;height:32.65pt;mso-position-horizontal-relative:char;mso-position-vertical-relative:line" coordorigin="21979,35728" coordsize="63985,4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LIfEJQUAABUVAAAOAAAAZHJzL2Uyb0RvYy54bWzkWM2O2zYQvhfoOwi6&#10;J9afJUuINyiSJgiQZhebtD3TMm0JkUSVpH82b9RDH6GnvFi/IUWt13FQb9omKbLAWiQ1HM3MN0PO&#10;zKPH+7bxtlyqWnRzP3wY+B7vSrGsu/Xc//nNswcz31OadUvWiI7P/Ruu/McX33/3aNcXPBKVaJZc&#10;emDSqWLXz/1K676YTFRZ8Zaph6LnHV6uhGyZxlSuJ0vJduDeNpMoCNLJTshlL0XJlcLqU/vSvzD8&#10;Vyte6svVSnHtNXMfsmnzK83vgn4nF49YsZasr+pyEIN9ghQtqzt8dGT1lGnmbWT9Aau2LqVQYqUf&#10;lqKdiNWqLrnRAdqEwZE2z6XY9EaXdbFb96OZYNojO30y2/LV9kp69XLuR9M8m/pex1rA9Prtpq87&#10;5g2LS65KGO0SaLzhexhTrAWZbtevC3B4LvvX/ZUcFtZ2RtbYr2RLT+jp7Y3Rb0ajE58Si2mUp0EC&#10;bEq8S8IkCUKLSlkBOtoWhXlmZANBPM2iWTDgVlY/OiZxPptGEN8yyeAaxGTiRJiQpKNg42TUYLBB&#10;eKy/EeWeWhpxZ1DoWNxRYwib5AiMQdgwnx5pbDef1PLExo9qiZBSt16j/pnXvK5Yz40zKsLceY2z&#10;2OVi+f73pnv/x1svIm12vSEb/UIVCi5yL6e4xRNOcRdPVvRS6edctB4N5r5EpJsAZNuXSlvoHQl9&#10;tBPP6qbBOiua7s4CrEcr8BAnIo30frEftFiI5Q20VX35rMa3XjKlr5jEKQFv2eHkmPvqtw2T3Pea&#10;Fx2MnIcJSa4PJ/JwsjicsK6sBGKr1NL37OSJNgeUlfKHjRar2mhEcllhBnGBrjX0fw5zfALm+F4w&#10;h9lsGiRwekTFdDpNrce7kIhzWM0GRJgGwSyh16Nffxa0zSE4xLuz8/mg091iYMXAgo2BBRoDB7J2&#10;w68QYpjfnv0HkWxgODuS4yyI09hCHEZ5FJmDgBUO5CjNk1kKc9C5FwVZmM6+EMzjCXXf2Ibw/3OY&#10;xyv+AGZz/ZwN8zSL4yTLTSSfghkukLvb7YuiPB5Q3x7K6YlgNkfu2SinURhlGfggVk+iHM4y3Apf&#10;PJTHI+rbAzk7AXJ2r0s5jZBORx8HeRrCDb4CkMcD6tsDGdepvZZ/Eciu//T0lsnCEwvJ3vHSMxfo&#10;2TGN2wvRnASzYDrUWO5qTqMsjZMBaqRix/lXubHZNuWkLsNGsbu0uTbWKjcq950bUk5OdXdj6m7k&#10;PkhrkeQu5v7CZn8907SPmNLQ21E1OAhSmUQaSQlElBtqL1y+pdqRiFux5W+E2aaP6krkjLdvm+6Q&#10;amQNG7hqwlG4Z2/4HVIeGMMRuacltkY9k+zudyEs6W0y3dEWWDy0thJNvaTahdRVcr140khvy6id&#10;Yf6GDOoO2VkVzn1DCRp+zrKmr8sC/0PPA6MPqte/7w1hl95QYWb7S+1ZPFom0fx4gPYMIKkXdVPr&#10;G9NqguuRUN32qi6pkqXJbSEcwg+G3gkVyh7mKGEcDe1ApcpXXF7zBny3/Jqr+h1aLdYlPuC8aOqe&#10;YPek0L/WujLlN9Wc5Af0clAKMXXUCzphF9tneirKTcs7bRtn0sghOlXVvUJsFrxdcPSB5Iul/Qhr&#10;+or9JOB8VAnDLemr1gvLa4Q2FuGRWnJdVkRAKjipreYfqfjDWZDj7nJheFsghGmaxDEyVMoq4jBB&#10;Y2hwb9dIciX9v1b1k9BWTCM/ptDkoD9kxui9GQMMfUJq7h3OzY7bbubF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n4a//cAAAABAEAAA8AAABkcnMvZG93bnJldi54bWxMj0Fr&#10;wkAQhe+F/odlCt7qJpWIptmISOtJClWh9DZmxySYnQ3ZNYn/vtte6mXg8R7vfZOtRtOInjpXW1YQ&#10;TyMQxIXVNZcKjof35wUI55E1NpZJwY0crPLHhwxTbQf+pH7vSxFK2KWooPK+TaV0RUUG3dS2xME7&#10;286gD7Irpe5wCOWmkS9RNJcGaw4LFba0qai47K9GwXbAYT2L3/rd5by5fR+Sj69dTEpNnsb1KwhP&#10;o/8Pwy9+QIc8MJ3slbUTjYLwiP+7wVsu4wTEScE8mYHMM3kPn/8AAAD//wMAUEsDBAoAAAAAAAAA&#10;IQAwPaVCqRcAAKkXAAAUAAAAZHJzL21lZGlhL2ltYWdlMS5wbmeJUE5HDQoaCgAAAA1JSERSAAAB&#10;XQAAAEIIBgAAAPR/BU0AAAABc1JHQgCuzhzpAAAABGdBTUEAALGPC/xhBQAAAAlwSFlzAAAOwwAA&#10;DsMBx2+oZAAAFz5JREFUeF7t3Qe0JUFRBuA15yxmxZxFzDkgKCrmHDABggGOqMccEFRExIRZAQMm&#10;VMQEJsQACOasYA4YMOec6ntvhzPM1oTumTv33n39n/OffW/3Tu/c6e6/q6uqa57hWkPD1cXvBZ/p&#10;8sdFeEzwTpc/NpwIPiH40Zc/LsJ/Bz8i+OiL3xoaGnbFfwX/r4A/EGw4LXxuMOurMf5n8J2DR8Mz&#10;Xv+zoaGhoWEHNNFtaGho2BFNdBsaGhp2RBPdhoaGhh3RRLehoaFhRxxCdLV5i+CL9PjswXPHswV9&#10;l5IUo2PiuYLd838Wf3Hm8PyNq2e++O1q4nmC+tNzaAbTmWJNnq5rXzL4esHXCb5q8BWCLxw0QfqQ&#10;mvNvwT8O/m7w14O/HPyV4L8ETw3PF3zz4JsEXz/4skELx7MG/yP470E5nr7D44OPDf5zcG+4n9cM&#10;vm7wtYKev3t9ziBx6gRKmsz/Bv8sqA9+IejZ/2zwH4OnBPf8GsE3Ct46aFz5TkSme/6+zx8Gfy34&#10;xKDn/9RgKYzLEhF/ZPCdLn88GJ4jaD7pV99fn7500PizeHaLvucg51SfGov68+eDvxg0164KpIx9&#10;6uWPi6DP3zP4/Re/HQE1ovuCwfcOvleQILGoSi0p+XKE66+DPx58WPCHg/8TXAOTwj2V4M2CFgJg&#10;RXxM8IOv/2ySz4EA/EXwu4NfFfzt4KFBZN83+O7BlwgS2dK+NGn/Jvh9wYcETVj9UosHBt3TUhCM&#10;uwR/8OK3a9eeP/ih10lojKsl30k7fx/8ruADggRoKUpF1zP7h8sfF8Pz/fDLH0fhe1rkPyj4DsEX&#10;ChLZkj7t5tSfB43FBwefFJzC3YMEq3T35plbfH7p4rd5+B7E8c4Xv5Xhr4LvGuz3q3mpvy3MxgmW&#10;QB/qyzF8RfA+lz/egNsEv/3yxxvAgPyC4GcF/y5ofv5WEDxjBsLLXPy2EMRWg4SSOHbJxlvQ4H9y&#10;8MOCS4RuDD8dzNqf4qsEPZC7BYkQizD73BLqzM8P2gYeAhaU7wmyZLL/v5baM1FfOViLbwhmbY9R&#10;n79b0IQ0gX8/uHZcEd+S00nuIWtnK5orFpAp3C5oMlq8szZqSYAJ74sHx0CsfiqYXT9HuzyL/RKw&#10;3Ilc1s4UjYdPCw4XH3P1kH13/+AYXiloAcFHBX3+W6//fq/gHa//HfZPL/II2A37+1mwBO4atOJ0&#10;jR2SOvOtgzU+qxrRJWTfFlwjtkPa6t0qWGKpTIHlw4reemIOydVwj2DNwlcjunZLjnFuuYjoR2Kz&#10;5DsccuKyBlmSY+AysMPbctxl/Mvg+wXHrFmuHItDdu0U3fcXBufGOFcjizhrY44/GRxasQwDO8vs&#10;81txSnT7IP4+/7YXv13ibYKejTFNlLud1GcG/yno3yZh6/rw4NaW7Rz/NchEL9021Iiuaw4x8G3z&#10;bBnXCK9r+fX4LrP/41Dkbih99qWiS5S4FvyZ/fsaatP4mXv2hxRddRoyoXNPJinLPrvuEPQ9PzvI&#10;X5yh1nJkTb9jcAy+K/dFzfyya3zTYB8W0u8MZp/fkmtF199xlz4l+PJBBuQTgsa7ZzaKVw8KuPRv&#10;Zk8S+m8OvmhwKWpE95AkvG8QrIEBy3906FV9jPxWS7ePUCq6h6ZJO/fsDyW6dgwsyCGIML/t3waz&#10;6w5JC9FXBrMdgPviI82um6MYhoB6Bm4FLp/suima+7brfZgPYi1EK7tmS24hutwivvsHBI0Fff5R&#10;wdEgJ8G1Re7fyLH4vUHb6yU4NdFFVmrJwtGBlXwswe345cGlgaZTE110T1PW7qFE95OCQ7gPgZUa&#10;EdqK/KruLbPAXyr4J8HsuimyYh8aHIq5QKBKXtk1c6Q9zxvs4+WCvxPMPr81txBdyQaPC3JdcjOZ&#10;y68dTEWXS0EKTv8mjkmr3lcHx7ZGfZyi6OLXBUt81Px9orVZW3uSdSSbYAlOUXSJyJgVBocQXdvI&#10;5w4OIdL+p8Hsmj1pBzCW9sbHXhPwIiSC4H3cM1jrshDT6YOgPyiYff4Q3EJ0PWOBtT8ISuPjvxdU&#10;vUF0rU4E7hA+zjXUeWpgzgnXqYqu+9cZS8CyZN1n7SwhZ73ABZ/ijwVFp3V8rV+eX2ouAg+nKLom&#10;cH9CDLG16Hr2xHUIOzVWT3bNEgp0yanWn2icy7eu7VPB6iyrgQUsXSq7Zo7GWOdSsVOusZpRwHgI&#10;OwRilX3+ENxKdO1WZSzQU24GQfsbUtWsdHt+uRIyz3XmFLYWXYNavt0Wk9O9LbF2+a1qgkuySz4v&#10;KIdXzmu3rZZDbev4LkHR1NKJasDwrc/d+ymKLn58cAxbi+59g8Otu+f2ycEaQ4awCkQZ9/3AJuPo&#10;lkET2eJaOl7ci0Bj1qfy02tdiw4cuF7wPfv3OfIPS03tw9j91WD2+UNxK9HlInHv/LkO+LxxUAbS&#10;0+AU1prAmcmss74oKFhgi+BUDT+GosGfE9R+jaB0/I5g5o/qsIXoeig/FJTQLreOlec7EEP/P2sm&#10;u26OJrjA2BR0koMa2fVTtKUVtJjyX4LJyl1gi5m1M0Z+yMyC62ON6BKB3wjKceYLu8N1Cjyw+tcY&#10;AnZuYygVXSlMxvQYs4wP46fUN+95KJjuNN5cnxoznxgUvMvaGiNXh8h6BnO3dIyg59lF6LN/n6J5&#10;5xDEEIK52bPu+LXBrL0xGksO8WRtdXyx4BJYIHy+704yBvxdl6vvGUtzo1vdd3kaPiRYsxrjbwbf&#10;I9i3sDIYIB8YtBXJ2pmjTh2mkfSxVnSl8TgRRJwysBptGWrzDiVRT8FpuFJLlOAuDTSC/nEMsnRi&#10;TIkX1IquySbfk4WUjR3+vLcKOjyTXT9HUfkxlIpu6ZsjWJL3C2ZtTdE9Dy2+KZjQDoWU+mOzgB9o&#10;797B7JpDUZpillkxB1kOWXtjdGqs9NTqQUCdu2OgpXx80FanBE511Pq4WJtjWCO6sgwEsJZANkLN&#10;8+ICGBNIgl66jeLre8VgKfiNiWjW5hhtdaeeT63oWoiWHCNnydck8VuUxnBo0VWHRG2ErK0xsvgF&#10;s0tBsGzvszbHyLdrh5uBAfUTwey6ramORtHx2B7OVnTfMFhj5Spcs1SohpACUhOht5qzijLUiq7J&#10;POcvHsKWoTvWt5QmuaOvGW4bLN1GO81VC1vXki0pC9wuZQw1osttsfS5s4L5rLN2pigANYZDiy5X&#10;TtbOGI1tftpa3D7oYFHWdkZzXlGnMYgPHPokqnH1/sFanJ3o2v4YzI4JTrkFMhCcjwuKUtaAi+Fj&#10;gzdE82ZgRS8prDIHHfHpQS6SEnD6f/Hlj4vBwhyLpgt0jbk1MvC5fePlj1Xw/KeswCGMlanTRzUQ&#10;A1j63PUT/+65wBady60EfxRc8x2lempjKcz5sfQxkOrk+Ko4zKGg5od6IlcGJpKt3ZgQTOFHgmtf&#10;Y6wCk+BEKaYGSilUAZLAXAMnfEpLOrIehgscsWWllEB1NlHRWljsuEhKILBY4mucg51JCQR/Sp/3&#10;sSBo8paXPy6Go6NrSp2ycgllCdzjVA68Hcwjgha9rcFgc3LLDu/KgOjaqr/axW/L4SHJp7M9WQvR&#10;R1uMEnQl3bYAH3FtTVnFRLrShEvBdzUULpXOSk+tmVwipC+wggKHJRDVLfXfj8EkLinDCCwuwnIO&#10;sECN+UszmAP6NOunEvKPlkAd5qnj3ua6nWCJBb0E+lJq1h6lUE8Obx80AUroOF7JufwpEI7SdBcR&#10;b37oIUp9ujo+a6cEosZZ22Pkx5SC1sf7BEuzFgS2BP/W0ATN2p6ilK4MpT7dKf/2GIh+6amuY/l0&#10;5QdnbYxR/0sXzPqphDWHEgQp58DvygrPrq+hnPEtDKezDKTxq2Y3N8U1vsQMEryz/2eMLOzhsUMo&#10;FV2r91S90SWQ8Jy1PUapWm8X7EMFqOyzp8ixKv01oit/uwQsOcKStTfGY4lubTbHMSivfg7ckI6z&#10;16aV9qkQ1FbCd5aBNCc+SuGQw5YwkUrAJzqW2F0ColvrWujAWiwJBgoEEo8+ttqy74Etnjuw7GSN&#10;3KzY6jntgSXjzwLF/yqlbQ30+5cGt9aQswHRLfUl2pLXZiyMgbuiFEtPjUxBOsxaHyFXR0lAy4Ix&#10;dM1s8V32Qm0+ZQYT8GaEPq4xZo4F9zoM7mYQw+A2WTNn7EbFg1idVxJEt9Q3a6J4rc2WqLE2t4ii&#10;d8n2a2ARUp+hBMOFbizv+BThVOGSim9XHcPdzCnDgR1asAQ/GlR0pwasZYdypDteWXjQTs2UgE9n&#10;6wjy1iK+FFukH3kepbnGS6yKU4XXr9Qc17xqcKLrXMCAWTomVRJ7i8sfi8EvrFqghfvKguiKppfA&#10;NVs/tKWr7NaYKp6zFNo41IsoTxGs3JJDHA2nD7vdJaJLNL8suGZB8fZtVdeuLIhd6daeyGy9dapp&#10;b00SeYeaM+5DeB6li5B0r3NFs3SvLlipCj6tAc2RZllzIOumQI2l6yiruglboiboIAi2FpLX1wqI&#10;Nkp8snzI/MB91PiVVQpTo3NvmnSKuDRMQz5xCboC6NkzPzQVCedvnYIaGbIXlr6+aQqMFCVgp97q&#10;cVNDeTeTvoTfEtwSToVl/88Y+VHVWh2iNE9X+ktJWcQMaiZkbY+RP3z4Fglnz7PPTvHULIXSvFT5&#10;yqUHU84lT9dW3fHyrI0xnkTS/gjsbtRIyO57DWUxLKkwN4WzzNOtSddS03arY7i253MFsoeQQbHF&#10;8UG5lLe4/LEKJlfpdovYKGrdR43lqDzmlmDBbOHjbric3KXHcT3/0qD2FLS3hVVqjDs8sWW9kw4O&#10;OHlbzdIg3k0Boqs8o0FSAnmlCktvAQJe6luVG7s2SRsEhG53+WMVXD88XTYHGRPDPGd9UAqvF9d/&#10;W8GbMQRJbhVs4rsepUYBN5c6CFtBhbMHB1l1a6xJb76wG15rkWZgQbNUl7yD76aBSetUVmkxC2Jz&#10;l+DaldQKd6dgaTsGtKOEW4BvtDbvVFGT0omipCL/XR9PCrKAS2Cx2CqLhG/NK18+MqhwteppT/da&#10;kYZieLtIKbiMtlhIZSM4rm0hVY3Oq/T1Z2nb5rnSjjWF8pdCfMhrmrbaOZ88dAK/lolWCgNkjZUI&#10;3AqlNUdBCbytwNKeKuQ8Btag1JfSgfzE63/2wdItDQwKPpbWLshgwbtHUFF24De9a1AC/AOC3d83&#10;lMEbVcQeSsDHPSyGVAPv9+sWTe/v0p+d+NrJLB2zxpft/6Hh3WgKvm+x4JwNCF/f2byUVvPaCKTJ&#10;/dhg1u4c1aTNUBpI6yjYUpp7aKDIQsjaGyO3iMBbhppgGn/8Gp80+B5TVd5E4b3DbE58r0IgreQk&#10;lq1zzVtsFZNas5W385p6RZCjvAJYc+JrUefCy9o4BB2QqtldlQbSlKosrXN8EBjMNa/OsZKL6JYK&#10;rxMwoqECYlm7U/yZ4JjjvVZ0sSSSqv5w6buv8KnBsePLghWlIoBej157WMFOY0l5R/3s+0rzkWKU&#10;4SqIrhobS9MDjdGa6nGi63cM1oBQsrCzdoe0s3IkVy3nIcyDBwb1e3btFMUruMuyf5sjI6zU1Vcq&#10;ur4Tl8nRYYB8RjC7yTkSzp8LCqwt2R6YaB5ujeDi1Kt61oguq/Xrg3MRZC6V2kE19YYKlrai4tl1&#10;UzSI3HfJqTj9pJZtaT1dx53VX85wFUTXs1a03jFYJUE7ek/grYPDwkWsTt8za2uKFmd1i0u223Yi&#10;5lWJUJqD2XvvBIelNmbXTNEcksrJZVfzElH37i3EJfiUYNbWFFnVdw/yJ/f70XsD9dlubg7VowTU&#10;sptcQis061VB7r7lS9ANRgnYDw06jJFdv4Qq60+thGtEF3W6ZyCoZBB3D58laVF5ULC04HpHE3zu&#10;HWOixDWLkWs8G0HBOWtdwepvCpa+BBM93zFxP0fRFdTMrpkjQWL1dlTwSHDUuOlDRkJtfqv5JJtk&#10;bGfRwTO5Z/ApwRLBxUcGhwEsiz+3Yfb5OWqPD9mc9yxK3W9oXDgqvBT81Vk7c3RvtKjfj+a2IP1u&#10;QT0PivpnN1hCX8aENgi9dNCXMUhrOqBP198hOIW1otvR4NX57l01fxOAPzb77FJ6CePcCmrA17zN&#10;oaNn5H5tG1kcrBh0fJNrwCu3WavZtXPUpxbOMZyj6Fqosmtq6cTWEIrcSxPMPj9H45AQCBzbEnNB&#10;6U9/yk7wEktjtGahZomyzvugAfcNZp+fI19xP9ZiwfEexeyzcxRYXrpzs2PL2qilxcvCsRsofOm7&#10;8/fi1wTnrLitRHdrmjxTgtWHbWWt6+VQdP98x1OLxjmK7sOC2TW1zERXlsuXBEut0EPSvaiLO4T+&#10;0C/ZNVO02GdFbOTfcpVk18zRuxOXbPMF37Lra7m76IIHVeuzPBSJ6ZLjuqcqulb8EkhqP6VJKoo9&#10;Vx/jHEV3i51dn5nogvrJ3pSQXXMMdm6APlimdkLZ5+fIlzy2Ja8NEBsfS9LVuBud8MzaqOFRRBdE&#10;tW1Ts5vam7YaanguwSmKrgHBQV8CWyuvps/a25sOoSw5pn2OosvAqHW3ZBwTXfBdVZfLrtuTakJk&#10;R8jde/b5OXJvzPlg1WrJrp2jjKq502qs4YcEs+treDTRBb4oTuXsxvaiPMeSE1+nJrp8eQKLfGWl&#10;cDT62MJrAM750Tuco+iasIKK2XU1nBJdcKCo5m29W5EhZV4PwbfrbQ7ZNVPkBnOabA7S7GpSUpEL&#10;aO7tNsZRTbZFxqOKLvCXSAjf28fIR/ToYKmFWCq6Jr70kezf1lIg8c7BJX6pMUhjMejWBiFrKPA3&#10;dgglwzmKLrD61mTt9DknunCbYGkFsi3IZZgJLkGrDXgJRC49VHT7oD7P2pminYhA8JThwm9+v+AW&#10;Lrmjiy5I5r9PUDJ1dpNb03ZFUrkJVopS0RVx5XOqyY+dIpeCY41bFI4xKaSSbem3miLrXBCj9MDL&#10;uYquyXzbYM1hlyGXiC4QeuVM12bELCF/qrS1sW06v3aNz1U2S0kZAHPBycasrTkSQqmOU1DXmhtj&#10;rYFyEqILrDVnwh1RrM1TnSPL0EA0EWutwxrRldiuQLPVfu1KaUfwmCCLYo2FO0T3/AlbzTZwCW3P&#10;HhVU67emkNG5ii4QXn5rNUjWTNqlogsCQNK/anNil1Db/o+x7bmTlY55Z9fO0Ym10jHu4NETgll7&#10;c5Q2N2dVE957BWsOZnQ8GdHtYLXiY5XLJ9K5xbb3yUFJ4ErQOa++BrWiC4JXCoWUTmr0HExu9UF1&#10;/KEgZU5lM4VLJPZvsUh0z19d4Npqa3DOottB1TY+eHUwWL4lz9dO5G7BUthJOvZr0a/N5+1Twr/F&#10;U5tjR87BXHt4MGtjjsZezU4UBN0cJsnanaI55tTs3O7Rv6srcf+gjJESXy/r3aIw50NehZoAD7iO&#10;uDi1pXgEweR/daptqjN8KYEEhVpMBoEi6UidX3UtiG5JxTAuEyLWr29roDrGqAgQ68dWMMsP5gZx&#10;745APyJIDPZ6tTQLQwod65evzCDTF1wCU7nM7pllI0DKZ9s9f5OAwKyB/h8eg52C/48lNixzOQUW&#10;uG1myYkh7Zt8JZA+ZRxIk7Mt51sfJuu7f4s2cXagxbMleMZ4DSx4DAA7DcJk96XI/pR1R4iMXVkR&#10;/MSPC5oD7mnuDdVEl8++xtCR0WKxroGxa7wu9QX3oS8Ze4yFOdAoi6h+VF9CMI8+DTXPwSfPyzM0&#10;Nyx8+nILPUpRK7pDWF0MGh1ocNpGaNvk8KXAxDYo+bEMTH6krbGF6Hbwnax4vo9J199KuY6bxffo&#10;ggPHhOfuqLI/5YRmBXBsm0xEz989m7ANpwljTx+i8ZdVkjOvjEP9qV+71LeGhl2xxr3Q0NDQcHCU&#10;OsIbGhoaGlagiW5DQ0PDjmii29DQ0LAjmug2NDQ07Igmug0NDQ07ooluQ0NDw45ootvQ0NCwI5ro&#10;NjQ0NOyIJroNDQ0NO6KJbkNDQ8OOaKLb0NDQsBuuXft/j9iOQYS2P/oAAAAASUVORK5CYIJQSwEC&#10;LQAUAAYACAAAACEAsYJntgoBAAATAgAAEwAAAAAAAAAAAAAAAAAAAAAAW0NvbnRlbnRfVHlwZXNd&#10;LnhtbFBLAQItABQABgAIAAAAIQA4/SH/1gAAAJQBAAALAAAAAAAAAAAAAAAAADsBAABfcmVscy8u&#10;cmVsc1BLAQItABQABgAIAAAAIQBlLIfEJQUAABUVAAAOAAAAAAAAAAAAAAAAADoCAABkcnMvZTJv&#10;RG9jLnhtbFBLAQItABQABgAIAAAAIQCqJg6+vAAAACEBAAAZAAAAAAAAAAAAAAAAAIsHAABkcnMv&#10;X3JlbHMvZTJvRG9jLnhtbC5yZWxzUEsBAi0AFAAGAAgAAAAhABn4a//cAAAABAEAAA8AAAAAAAAA&#10;AAAAAAAAfggAAGRycy9kb3ducmV2LnhtbFBLAQItAAoAAAAAAAAAIQAwPaVCqRcAAKkXAAAUAAAA&#10;AAAAAAAAAAAAAIcJAABkcnMvbWVkaWEvaW1hZ2UxLnBuZ1BLBQYAAAAABgAGAHwBAABiIQAAAAA=&#10;">
                <v:group id="Skupina 1" o:spid="_x0000_s1027" style="position:absolute;left:21979;top:35728;width:63985;height:4171" coordsize="63984,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Obdélník 2" o:spid="_x0000_s1028" style="position:absolute;width:62960;height:4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020718B" w14:textId="77777777" w:rsidR="001639DC" w:rsidRDefault="001639DC">
                          <w:pPr>
                            <w:jc w:val="left"/>
                            <w:textDirection w:val="btLr"/>
                          </w:pPr>
                        </w:p>
                      </w:txbxContent>
                    </v:textbox>
                  </v:rect>
                  <v:rect id="Obdélník 3" o:spid="_x0000_s1029" style="position:absolute;left:17850;top:55;width:399;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015FE32B" w14:textId="77777777" w:rsidR="001639DC" w:rsidRDefault="00C83994">
                          <w:pPr>
                            <w:spacing w:after="160" w:line="258" w:lineRule="auto"/>
                            <w:jc w:val="left"/>
                            <w:textDirection w:val="btLr"/>
                          </w:pPr>
                          <w:r>
                            <w:rPr>
                              <w:rFonts w:eastAsia="Arial" w:cs="Arial"/>
                              <w:color w:val="000000"/>
                            </w:rPr>
                            <w:t xml:space="preserve"> </w:t>
                          </w:r>
                        </w:p>
                      </w:txbxContent>
                    </v:textbox>
                  </v:rect>
                  <v:rect id="Obdélník 4" o:spid="_x0000_s1030" style="position:absolute;left:37036;top:1292;width:26948;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73AFFF1" w14:textId="77777777" w:rsidR="001639DC" w:rsidRDefault="00C83994">
                          <w:pPr>
                            <w:spacing w:after="160" w:line="258" w:lineRule="auto"/>
                            <w:jc w:val="left"/>
                            <w:textDirection w:val="btLr"/>
                          </w:pPr>
                          <w:r>
                            <w:rPr>
                              <w:rFonts w:eastAsia="Arial" w:cs="Arial"/>
                              <w:b/>
                              <w:color w:val="000000"/>
                              <w:sz w:val="22"/>
                            </w:rPr>
                            <w:t>End User License Agreement (</w:t>
                          </w:r>
                        </w:p>
                      </w:txbxContent>
                    </v:textbox>
                  </v:rect>
                  <v:rect id="Obdélník 5" o:spid="_x0000_s1031" style="position:absolute;left:57334;top:1292;width:6390;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0F974D2F" w14:textId="77777777" w:rsidR="001639DC" w:rsidRDefault="00C83994">
                          <w:pPr>
                            <w:spacing w:after="160" w:line="258" w:lineRule="auto"/>
                            <w:jc w:val="left"/>
                            <w:textDirection w:val="btLr"/>
                          </w:pPr>
                          <w:r>
                            <w:rPr>
                              <w:rFonts w:eastAsia="Arial" w:cs="Arial"/>
                              <w:b/>
                              <w:color w:val="000000"/>
                              <w:sz w:val="22"/>
                            </w:rPr>
                            <w:t>Austria</w:t>
                          </w:r>
                        </w:p>
                      </w:txbxContent>
                    </v:textbox>
                  </v:rect>
                  <v:rect id="Obdélník 6" o:spid="_x0000_s1032" style="position:absolute;left:62127;top:1292;width:619;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05120B3" w14:textId="77777777" w:rsidR="001639DC" w:rsidRDefault="00C83994">
                          <w:pPr>
                            <w:spacing w:after="160" w:line="258" w:lineRule="auto"/>
                            <w:jc w:val="left"/>
                            <w:textDirection w:val="btLr"/>
                          </w:pPr>
                          <w:r>
                            <w:rPr>
                              <w:rFonts w:eastAsia="Arial" w:cs="Arial"/>
                              <w:b/>
                              <w:color w:val="000000"/>
                              <w:sz w:val="22"/>
                            </w:rPr>
                            <w:t>)</w:t>
                          </w:r>
                        </w:p>
                      </w:txbxContent>
                    </v:textbox>
                  </v:rect>
                  <v:rect id="Obdélník 7" o:spid="_x0000_s1033" style="position:absolute;left:62572;top:1292;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4D011C4" w14:textId="77777777" w:rsidR="001639DC" w:rsidRDefault="00C83994">
                          <w:pPr>
                            <w:spacing w:after="160" w:line="258" w:lineRule="auto"/>
                            <w:jc w:val="left"/>
                            <w:textDirection w:val="btLr"/>
                          </w:pPr>
                          <w:r>
                            <w:rPr>
                              <w:rFonts w:eastAsia="Arial" w:cs="Arial"/>
                              <w:b/>
                              <w:color w:val="000000"/>
                              <w:sz w:val="22"/>
                            </w:rPr>
                            <w:t xml:space="preserve"> </w:t>
                          </w:r>
                        </w:p>
                      </w:txbxContent>
                    </v:textbox>
                  </v:rect>
                  <v:shape id="Volný tvar: obrazec 8" o:spid="_x0000_s1034" style="position:absolute;top:4080;width:62763;height:91;visibility:visible;mso-wrap-style:square;v-text-anchor:middle" coordsize="62763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OllwQAAANoAAAAPAAAAZHJzL2Rvd25yZXYueG1sRE/Pa8Iw&#10;FL4L+x/CG+ymqUOHVNMiMsXDYKx62PGteTbZmpfSxFr/++Uw2PHj+70pR9eKgfpgPSuYzzIQxLXX&#10;lhsF59N+ugIRIrLG1jMpuFOAsniYbDDX/sYfNFSxESmEQ44KTIxdLmWoDTkMM98RJ+7ie4cxwb6R&#10;usdbCnetfM6yF+nQcmow2NHOUP1TXZ2C4biQn++Hpf/69uYt2zm7fLV3pZ4ex+0aRKQx/ov/3Eet&#10;IG1NV9INkMUvAAAA//8DAFBLAQItABQABgAIAAAAIQDb4fbL7gAAAIUBAAATAAAAAAAAAAAAAAAA&#10;AAAAAABbQ29udGVudF9UeXBlc10ueG1sUEsBAi0AFAAGAAgAAAAhAFr0LFu/AAAAFQEAAAsAAAAA&#10;AAAAAAAAAAAAHwEAAF9yZWxzLy5yZWxzUEsBAi0AFAAGAAgAAAAhAKSk6WXBAAAA2gAAAA8AAAAA&#10;AAAAAAAAAAAABwIAAGRycy9kb3ducmV2LnhtbFBLBQYAAAAAAwADALcAAAD1AgAAAAA=&#10;" path="m,l6276341,r,9144l,9144,,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180;width:16644;height:314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fhxgAAANsAAAAPAAAAZHJzL2Rvd25yZXYueG1sRI9Ba8JA&#10;EIXvhf6HZQre6qZFSoiu0ioVD2ml1ou3ITsmodnZsLvR+O87h0JvM7w3732zWI2uUxcKsfVs4Gma&#10;gSKuvG25NnD8fn/MQcWEbLHzTAZuFGG1vL9bYGH9lb/ocki1khCOBRpoUuoLrWPVkMM49T2xaGcf&#10;HCZZQ61twKuEu04/Z9mLdtiyNDTY07qh6ucwOAPl7BRmw+YjT8Pn2227L8th2+fGTB7G1zmoRGP6&#10;N/9d76zgC738IgPo5S8AAAD//wMAUEsBAi0AFAAGAAgAAAAhANvh9svuAAAAhQEAABMAAAAAAAAA&#10;AAAAAAAAAAAAAFtDb250ZW50X1R5cGVzXS54bWxQSwECLQAUAAYACAAAACEAWvQsW78AAAAVAQAA&#10;CwAAAAAAAAAAAAAAAAAfAQAAX3JlbHMvLnJlbHNQSwECLQAUAAYACAAAACEA4G8n4cYAAADbAAAA&#10;DwAAAAAAAAAAAAAAAAAHAgAAZHJzL2Rvd25yZXYueG1sUEsFBgAAAAADAAMAtwAAAPoCAAAAAA==&#10;">
                    <v:imagedata r:id="rId22" o:title=""/>
                  </v:shape>
                </v:group>
                <w10:anchorlock/>
              </v:group>
            </w:pict>
          </mc:Fallback>
        </mc:AlternateContent>
      </w:r>
      <w:r>
        <w:t xml:space="preserve"> </w:t>
      </w:r>
    </w:p>
    <w:p w14:paraId="7D46727A" w14:textId="77777777" w:rsidR="001639DC" w:rsidRDefault="00C83994">
      <w:pPr>
        <w:spacing w:line="259" w:lineRule="auto"/>
        <w:jc w:val="left"/>
      </w:pPr>
      <w:r>
        <w:t xml:space="preserve"> </w:t>
      </w:r>
    </w:p>
    <w:p w14:paraId="12A2B034" w14:textId="77777777" w:rsidR="001639DC" w:rsidRDefault="00C83994">
      <w:pPr>
        <w:spacing w:after="7" w:line="248" w:lineRule="auto"/>
        <w:ind w:left="-5"/>
        <w:jc w:val="left"/>
      </w:pPr>
      <w:r>
        <w:t>This End User License Agreement (“</w:t>
      </w:r>
      <w:r>
        <w:rPr>
          <w:b/>
        </w:rPr>
        <w:t>EULA</w:t>
      </w:r>
      <w:r>
        <w:t xml:space="preserve">”) is between </w:t>
      </w:r>
      <w:r>
        <w:rPr>
          <w:b/>
        </w:rPr>
        <w:t xml:space="preserve">OpenText Software Austria GmbH </w:t>
      </w:r>
      <w:r>
        <w:t>("</w:t>
      </w:r>
      <w:r>
        <w:rPr>
          <w:b/>
        </w:rPr>
        <w:t>OT</w:t>
      </w:r>
      <w:r>
        <w:t>") and you (either as an individual, a single corporation, or other single legal entity that purchases the applicable Software) ("</w:t>
      </w:r>
      <w:r>
        <w:rPr>
          <w:b/>
        </w:rPr>
        <w:t>Licensee</w:t>
      </w:r>
      <w:r>
        <w:t>"), and is effective from the date of the applicable Transaction Document, as defined below (“</w:t>
      </w:r>
      <w:r>
        <w:rPr>
          <w:b/>
        </w:rPr>
        <w:t>Effective Date</w:t>
      </w:r>
      <w:r>
        <w:t xml:space="preserve">”). </w:t>
      </w:r>
    </w:p>
    <w:p w14:paraId="064E745D" w14:textId="77777777" w:rsidR="001639DC" w:rsidRDefault="00C83994">
      <w:pPr>
        <w:spacing w:line="259" w:lineRule="auto"/>
        <w:jc w:val="left"/>
      </w:pPr>
      <w:r>
        <w:t xml:space="preserve"> </w:t>
      </w:r>
    </w:p>
    <w:p w14:paraId="0AD2D37A" w14:textId="77777777" w:rsidR="001639DC" w:rsidRDefault="00C83994">
      <w:pPr>
        <w:spacing w:after="169"/>
        <w:ind w:left="-5" w:right="7"/>
      </w:pPr>
      <w:r>
        <w:t xml:space="preserve">OT and Licensee agree as follows: </w:t>
      </w:r>
      <w:r>
        <w:rPr>
          <w:noProof/>
        </w:rPr>
        <mc:AlternateContent>
          <mc:Choice Requires="wpg">
            <w:drawing>
              <wp:anchor distT="0" distB="0" distL="0" distR="0" simplePos="0" relativeHeight="251658240" behindDoc="1" locked="0" layoutInCell="1" hidden="0" allowOverlap="1" wp14:anchorId="13B8225C" wp14:editId="1A0AD374">
                <wp:simplePos x="0" y="0"/>
                <wp:positionH relativeFrom="column">
                  <wp:posOffset>1651000</wp:posOffset>
                </wp:positionH>
                <wp:positionV relativeFrom="paragraph">
                  <wp:posOffset>0</wp:posOffset>
                </wp:positionV>
                <wp:extent cx="12700" cy="131445"/>
                <wp:effectExtent l="0" t="0" r="0" b="0"/>
                <wp:wrapNone/>
                <wp:docPr id="25976" name="Skupina 25976"/>
                <wp:cNvGraphicFramePr/>
                <a:graphic xmlns:a="http://schemas.openxmlformats.org/drawingml/2006/main">
                  <a:graphicData uri="http://schemas.microsoft.com/office/word/2010/wordprocessingGroup">
                    <wpg:wgp>
                      <wpg:cNvGrpSpPr/>
                      <wpg:grpSpPr>
                        <a:xfrm>
                          <a:off x="0" y="0"/>
                          <a:ext cx="12700" cy="131445"/>
                          <a:chOff x="5339650" y="3714275"/>
                          <a:chExt cx="12700" cy="131450"/>
                        </a:xfrm>
                      </wpg:grpSpPr>
                      <wpg:grpSp>
                        <wpg:cNvPr id="9" name="Skupina 9"/>
                        <wpg:cNvGrpSpPr/>
                        <wpg:grpSpPr>
                          <a:xfrm>
                            <a:off x="5339650" y="3714278"/>
                            <a:ext cx="12700" cy="131445"/>
                            <a:chOff x="0" y="0"/>
                            <a:chExt cx="12700" cy="131445"/>
                          </a:xfrm>
                        </wpg:grpSpPr>
                        <wps:wsp>
                          <wps:cNvPr id="11" name="Obdélník 11"/>
                          <wps:cNvSpPr/>
                          <wps:spPr>
                            <a:xfrm>
                              <a:off x="0" y="0"/>
                              <a:ext cx="12700" cy="131425"/>
                            </a:xfrm>
                            <a:prstGeom prst="rect">
                              <a:avLst/>
                            </a:prstGeom>
                            <a:noFill/>
                            <a:ln>
                              <a:noFill/>
                            </a:ln>
                          </wps:spPr>
                          <wps:txbx>
                            <w:txbxContent>
                              <w:p w14:paraId="31C788F6" w14:textId="77777777" w:rsidR="001639DC" w:rsidRDefault="001639DC">
                                <w:pPr>
                                  <w:jc w:val="left"/>
                                  <w:textDirection w:val="btLr"/>
                                </w:pPr>
                              </w:p>
                            </w:txbxContent>
                          </wps:txbx>
                          <wps:bodyPr spcFirstLastPara="1" wrap="square" lIns="91425" tIns="91425" rIns="91425" bIns="91425" anchor="ctr" anchorCtr="0">
                            <a:noAutofit/>
                          </wps:bodyPr>
                        </wps:wsp>
                        <wps:wsp>
                          <wps:cNvPr id="12" name="Volný tvar: obrazec 12"/>
                          <wps:cNvSpPr/>
                          <wps:spPr>
                            <a:xfrm>
                              <a:off x="0" y="0"/>
                              <a:ext cx="12700" cy="131445"/>
                            </a:xfrm>
                            <a:custGeom>
                              <a:avLst/>
                              <a:gdLst/>
                              <a:ahLst/>
                              <a:cxnLst/>
                              <a:rect l="l" t="t" r="r" b="b"/>
                              <a:pathLst>
                                <a:path w="12700" h="131445" extrusionOk="0">
                                  <a:moveTo>
                                    <a:pt x="0" y="0"/>
                                  </a:moveTo>
                                  <a:lnTo>
                                    <a:pt x="12700" y="0"/>
                                  </a:lnTo>
                                  <a:lnTo>
                                    <a:pt x="12700" y="3175"/>
                                  </a:lnTo>
                                  <a:lnTo>
                                    <a:pt x="7620" y="3175"/>
                                  </a:lnTo>
                                  <a:lnTo>
                                    <a:pt x="7620" y="128270"/>
                                  </a:lnTo>
                                  <a:lnTo>
                                    <a:pt x="12700" y="128270"/>
                                  </a:lnTo>
                                  <a:lnTo>
                                    <a:pt x="12700" y="131445"/>
                                  </a:lnTo>
                                  <a:lnTo>
                                    <a:pt x="0" y="131445"/>
                                  </a:lnTo>
                                  <a:lnTo>
                                    <a:pt x="0" y="128270"/>
                                  </a:lnTo>
                                  <a:lnTo>
                                    <a:pt x="5080" y="128270"/>
                                  </a:lnTo>
                                  <a:lnTo>
                                    <a:pt x="5080" y="3175"/>
                                  </a:lnTo>
                                  <a:lnTo>
                                    <a:pt x="0" y="3175"/>
                                  </a:lnTo>
                                  <a:lnTo>
                                    <a:pt x="0" y="0"/>
                                  </a:lnTo>
                                  <a:close/>
                                </a:path>
                              </a:pathLst>
                            </a:custGeom>
                            <a:solidFill>
                              <a:srgbClr val="7E7E7E"/>
                            </a:solidFill>
                            <a:ln>
                              <a:noFill/>
                            </a:ln>
                          </wps:spPr>
                          <wps:bodyPr spcFirstLastPara="1" wrap="square" lIns="91425" tIns="91425" rIns="91425" bIns="91425" anchor="ctr" anchorCtr="0">
                            <a:noAutofit/>
                          </wps:bodyPr>
                        </wps:wsp>
                      </wpg:grpSp>
                    </wpg:wgp>
                  </a:graphicData>
                </a:graphic>
              </wp:anchor>
            </w:drawing>
          </mc:Choice>
          <mc:Fallback>
            <w:pict>
              <v:group w14:anchorId="13B8225C" id="Skupina 25976" o:spid="_x0000_s1036" style="position:absolute;left:0;text-align:left;margin-left:130pt;margin-top:0;width:1pt;height:10.35pt;z-index:-251658240;mso-wrap-distance-left:0;mso-wrap-distance-right:0;mso-position-horizontal-relative:text;mso-position-vertical-relative:text" coordorigin="53396,37142" coordsize="127,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sDQQwMAAGQKAAAOAAAAZHJzL2Uyb0RvYy54bWzMVslu2zAQvRfoPxC8N7LkeBPiFEU2FAia&#10;AEl7pyhqQSSSJWnL6R/10E/oKT/WISnJjlMjTloUhQGZy2g0783jk47er+oKLZnSpeBzHB4MMGKc&#10;irTk+Rx/vj1/N8VIG8JTUgnO5vieafz++O2bo0bGLBKFqFKmECThOm7kHBfGyDgINC1YTfSBkIzD&#10;ZiZUTQxMVR6kijSQva6CaDAYB41QqVSCMq1h9dRv4mOXP8sYNVdZpplB1RxDbcZdlbsm9hocH5E4&#10;V0QWJW3LIK+ooiYlh4f2qU6JIWihyiep6pIqoUVmDqioA5FlJWUOA6AJB1toLpRYSIclj5tc9jQB&#10;tVs8vTot/bS8VqhM5zgazSZjjDipoU03dwtZcoL8IpDUyDyG2Aslb+S1ahdyP7O4V5mq7T8gQitH&#10;731PL1sZRGExjCYD6AGFnXAYHh6OPPu0gBbZm0bD4Ww8gggIGE7Cw2jSR5z9PgUEQylB9/jAVtkX&#10;1U/66luks22UM5vlhQifFjv1cPZF63G2CqTFDoSepJ0I4dDotS70n+nipiCSOblp2+uWrTDs6LpK&#10;0ofvFX/4cYdg0VHmAntF6FiDOF4ph8g1u0dKYqm0uWCiRnYwxwrOsjtiZHmpjW97F2IfycV5WVWw&#10;TuKKP1qAnHYF1NEVaEdmlayc8McdlESk9wBaS3pewiMviTbXRIEdAAMNWMQc668LohhG1UcOXM9A&#10;oiPwlM2J2pwkmxPCaSHAeahRGPnJiXFO5Iv9sDAiKx0wW54vpq0ammwF+i+6HXXd/iKg1T+RWRIV&#10;I5Eo8o1RFEYdWSCQv9P3LYWTmC583y0tXa/BWFPfdVgruhFd8W5o1WE9vnIebzACZoFn8PjEH0tJ&#10;jL3PJrVD1PR+VPR2hODsqoV9lV3dWfeywbVYslvhbjNbzga6Wu9WfDOqtbrOA50C/f6uuGHo3W5n&#10;6GQctda4d2QYTcFyLf6dWdeFviy49++dmX2xa6N/LvD5WkeDaZv0BbHP8ronqT5sm0xaCc1aLwJV&#10;OaJ7pQHiTS1rUZWp9SgrJq3y5KRSaElAtJMz+2v79ChsLyf7z31r/VZ2buY+ZRxR7WeX/VbanLuo&#10;9cfh8S8AAAD//wMAUEsDBBQABgAIAAAAIQBgr6Xr3QAAAAcBAAAPAAAAZHJzL2Rvd25yZXYueG1s&#10;TI9BS8NAEIXvgv9hGcGb3U3EWGI2pRT1VARbQXrbZqdJaHY2ZLdJ+u8dT3oZ3vCGN98rVrPrxIhD&#10;aD1pSBYKBFLlbUu1hq/928MSRIiGrOk8oYYrBliVtzeFya2f6BPHXawFh1DIjYYmxj6XMlQNOhMW&#10;vkdi7+QHZyKvQy3tYCYOd51MlcqkMy3xh8b0uGmwOu8uTsP7ZKb1Y/I6bs+nzfWwf/r43iao9f3d&#10;vH4BEXGOf8fwi8/oUDLT0V/IBtFpSDPFXaIGnmynWcriyEI9gywL+Z+//AEAAP//AwBQSwECLQAU&#10;AAYACAAAACEAtoM4kv4AAADhAQAAEwAAAAAAAAAAAAAAAAAAAAAAW0NvbnRlbnRfVHlwZXNdLnht&#10;bFBLAQItABQABgAIAAAAIQA4/SH/1gAAAJQBAAALAAAAAAAAAAAAAAAAAC8BAABfcmVscy8ucmVs&#10;c1BLAQItABQABgAIAAAAIQC5PsDQQwMAAGQKAAAOAAAAAAAAAAAAAAAAAC4CAABkcnMvZTJvRG9j&#10;LnhtbFBLAQItABQABgAIAAAAIQBgr6Xr3QAAAAcBAAAPAAAAAAAAAAAAAAAAAJ0FAABkcnMvZG93&#10;bnJldi54bWxQSwUGAAAAAAQABADzAAAApwYAAAAA&#10;">
                <v:group id="Skupina 9" o:spid="_x0000_s1037" style="position:absolute;left:53396;top:37142;width:127;height:1315" coordsize="1270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Obdélník 11" o:spid="_x0000_s1038" style="position:absolute;width:12700;height:131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31C788F6" w14:textId="77777777" w:rsidR="001639DC" w:rsidRDefault="001639DC">
                          <w:pPr>
                            <w:jc w:val="left"/>
                            <w:textDirection w:val="btLr"/>
                          </w:pPr>
                        </w:p>
                      </w:txbxContent>
                    </v:textbox>
                  </v:rect>
                  <v:shape id="Volný tvar: obrazec 12" o:spid="_x0000_s1039" style="position:absolute;width:12700;height:131445;visibility:visible;mso-wrap-style:square;v-text-anchor:middle" coordsize="1270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owwAAAANsAAAAPAAAAZHJzL2Rvd25yZXYueG1sRE9NawIx&#10;EL0L/ocwQm9uVguLrEYpC6XtUevF27CZbrbdTNYk6uqvN4LQ2zze56w2g+3EmXxoHSuYZTkI4trp&#10;lhsF++/36QJEiMgaO8ek4EoBNuvxaIWldhfe0nkXG5FCOJSowMTYl1KG2pDFkLmeOHE/zluMCfpG&#10;ao+XFG47Oc/zQlpsOTUY7KkyVP/tTlbB66G9/RZHX8jb9svQR6y8OVVKvUyGtyWISEP8Fz/dnzrN&#10;n8Pjl3SAXN8BAAD//wMAUEsBAi0AFAAGAAgAAAAhANvh9svuAAAAhQEAABMAAAAAAAAAAAAAAAAA&#10;AAAAAFtDb250ZW50X1R5cGVzXS54bWxQSwECLQAUAAYACAAAACEAWvQsW78AAAAVAQAACwAAAAAA&#10;AAAAAAAAAAAfAQAAX3JlbHMvLnJlbHNQSwECLQAUAAYACAAAACEAQulaMMAAAADbAAAADwAAAAAA&#10;AAAAAAAAAAAHAgAAZHJzL2Rvd25yZXYueG1sUEsFBgAAAAADAAMAtwAAAPQCAAAAAA==&#10;" path="m,l12700,r,3175l7620,3175r,125095l12700,128270r,3175l,131445r,-3175l5080,128270r,-125095l,3175,,xe" fillcolor="#7e7e7e" stroked="f">
                    <v:path arrowok="t" o:extrusionok="f"/>
                  </v:shape>
                </v:group>
              </v:group>
            </w:pict>
          </mc:Fallback>
        </mc:AlternateContent>
      </w:r>
    </w:p>
    <w:p w14:paraId="4EDE128B" w14:textId="77777777" w:rsidR="001639DC" w:rsidRDefault="00C83994">
      <w:pPr>
        <w:pStyle w:val="Nadpis1"/>
        <w:tabs>
          <w:tab w:val="center" w:pos="1201"/>
        </w:tabs>
        <w:ind w:left="-15"/>
      </w:pPr>
      <w:r>
        <w:t>1.0</w:t>
      </w:r>
      <w:r>
        <w:rPr>
          <w:rFonts w:ascii="Arial" w:eastAsia="Arial" w:hAnsi="Arial" w:cs="Arial"/>
          <w:u w:val="none"/>
        </w:rPr>
        <w:t xml:space="preserve"> </w:t>
      </w:r>
      <w:r>
        <w:rPr>
          <w:rFonts w:ascii="Arial" w:eastAsia="Arial" w:hAnsi="Arial" w:cs="Arial"/>
          <w:u w:val="none"/>
        </w:rPr>
        <w:tab/>
      </w:r>
      <w:r>
        <w:t>Definitions</w:t>
      </w:r>
      <w:r>
        <w:rPr>
          <w:u w:val="none"/>
        </w:rPr>
        <w:t xml:space="preserve"> </w:t>
      </w:r>
    </w:p>
    <w:p w14:paraId="387A3BC8" w14:textId="77777777" w:rsidR="001639DC" w:rsidRDefault="00C83994">
      <w:pPr>
        <w:ind w:left="-5" w:right="7"/>
      </w:pPr>
      <w:r>
        <w:rPr>
          <w:b/>
        </w:rPr>
        <w:t xml:space="preserve">“Affiliate” </w:t>
      </w:r>
      <w:r>
        <w:t xml:space="preserve">means any entity controlled by, controlling, or under common control with a party to this EULA. Control exists through ownership, directly or indirectly, of a majority of the outstanding equity capital and of the voting interests of the subject entity. If an entity ceases to meet these criteria, it will cease to be an Affiliate under this EULA; </w:t>
      </w:r>
    </w:p>
    <w:p w14:paraId="445446F7" w14:textId="77777777" w:rsidR="001639DC" w:rsidRDefault="00C83994">
      <w:pPr>
        <w:ind w:left="-5" w:right="7"/>
      </w:pPr>
      <w:r>
        <w:rPr>
          <w:b/>
        </w:rPr>
        <w:t xml:space="preserve">“Claim” </w:t>
      </w:r>
      <w:r>
        <w:t xml:space="preserve">means claims, suits, actions or proceedings brought against Licensee in a court of competent jurisdiction in a Covered Country by a third party which allege an infringement of the third party’s patent, copyright, or trade secret rights existing under the laws of the Covered Country; </w:t>
      </w:r>
      <w:r>
        <w:rPr>
          <w:b/>
        </w:rPr>
        <w:t>“Confidential Information</w:t>
      </w:r>
      <w:r>
        <w:t xml:space="preserve">” means information, whether or not in physical form, all oral communications, documents and other information, disclosed by a party to the other which: (a) is a trade secret or by its nature or circumstances surrounding its disclosure is, or could reasonably be expected to be regarded as, confidential to the disclosing Party; (b) is marked or otherwise designated “confidential” by the disclosing Party; or (c) the disclosing Party informs the receiving Party is confidential or a trade secret; </w:t>
      </w:r>
      <w:r>
        <w:rPr>
          <w:b/>
        </w:rPr>
        <w:t xml:space="preserve">“Covered </w:t>
      </w:r>
    </w:p>
    <w:p w14:paraId="70334D5D" w14:textId="77777777" w:rsidR="001639DC" w:rsidRDefault="00C83994">
      <w:pPr>
        <w:ind w:left="-5" w:right="7"/>
      </w:pPr>
      <w:r>
        <w:rPr>
          <w:b/>
        </w:rPr>
        <w:t xml:space="preserve">Countries” </w:t>
      </w:r>
      <w:r>
        <w:t xml:space="preserve">means each contracting party to The Patent Cooperation Treaty  (currently published at </w:t>
      </w:r>
      <w:hyperlink r:id="rId23">
        <w:r>
          <w:rPr>
            <w:color w:val="0000FF"/>
            <w:u w:val="single"/>
          </w:rPr>
          <w:t>http://www.wipo.int/pct/en/</w:t>
        </w:r>
      </w:hyperlink>
      <w:hyperlink r:id="rId24">
        <w:r>
          <w:t xml:space="preserve">) </w:t>
        </w:r>
      </w:hyperlink>
      <w:r>
        <w:t>and “</w:t>
      </w:r>
      <w:r>
        <w:rPr>
          <w:b/>
        </w:rPr>
        <w:t xml:space="preserve">Covered Country” </w:t>
      </w:r>
      <w:r>
        <w:t xml:space="preserve">means one of them; </w:t>
      </w:r>
    </w:p>
    <w:p w14:paraId="7B2BEE9B" w14:textId="77777777" w:rsidR="001639DC" w:rsidRDefault="00C83994">
      <w:pPr>
        <w:ind w:left="-5" w:right="7"/>
      </w:pPr>
      <w:r>
        <w:rPr>
          <w:b/>
        </w:rPr>
        <w:t xml:space="preserve">“Documentation” </w:t>
      </w:r>
      <w:r>
        <w:t xml:space="preserve">means user guides, operating manuals, and release notes in effect as of the date of delivery of the applicable </w:t>
      </w:r>
    </w:p>
    <w:p w14:paraId="5F6D9A08" w14:textId="77777777" w:rsidR="001639DC" w:rsidRDefault="00C83994">
      <w:pPr>
        <w:ind w:left="-5" w:right="7"/>
      </w:pPr>
      <w:r>
        <w:t xml:space="preserve">Software, made generally available by OT; </w:t>
      </w:r>
    </w:p>
    <w:p w14:paraId="0ABB0A23" w14:textId="77777777" w:rsidR="001639DC" w:rsidRDefault="00C83994">
      <w:pPr>
        <w:ind w:left="-5" w:right="7"/>
      </w:pPr>
      <w:r>
        <w:rPr>
          <w:b/>
        </w:rPr>
        <w:t xml:space="preserve">“Fees” </w:t>
      </w:r>
      <w:r>
        <w:t xml:space="preserve">means Licensee Fees and/or Maintenance Fees, as applicable; </w:t>
      </w:r>
    </w:p>
    <w:p w14:paraId="4480A367" w14:textId="77777777" w:rsidR="001639DC" w:rsidRDefault="00C83994">
      <w:pPr>
        <w:ind w:left="-5" w:right="7"/>
      </w:pPr>
      <w:r>
        <w:rPr>
          <w:b/>
        </w:rPr>
        <w:t xml:space="preserve">“License Documents” </w:t>
      </w:r>
      <w:r>
        <w:t xml:space="preserve">means this EULA including any addenda, the License Model Schedule, all Transaction Documents (including pricing information), Documentation, the document entitled Third Party Notifications (as applicable) available at </w:t>
      </w:r>
    </w:p>
    <w:p w14:paraId="16097339" w14:textId="77777777" w:rsidR="001639DC" w:rsidRDefault="00922109">
      <w:pPr>
        <w:ind w:left="-5" w:right="7"/>
      </w:pPr>
      <w:hyperlink r:id="rId25">
        <w:r w:rsidR="00C83994">
          <w:rPr>
            <w:color w:val="0000FF"/>
            <w:u w:val="single"/>
          </w:rPr>
          <w:t>www.opentext.com/agreements</w:t>
        </w:r>
      </w:hyperlink>
      <w:hyperlink r:id="rId26">
        <w:r w:rsidR="00C83994">
          <w:t>, a</w:t>
        </w:r>
      </w:hyperlink>
      <w:r w:rsidR="00C83994">
        <w:t xml:space="preserve">nd any other documents provided by OT setting out permitted uses of the Software; </w:t>
      </w:r>
      <w:r w:rsidR="00C83994">
        <w:rPr>
          <w:b/>
        </w:rPr>
        <w:t xml:space="preserve">“License Fees” </w:t>
      </w:r>
      <w:r w:rsidR="00C83994">
        <w:t xml:space="preserve">means all non-refundable fees payable by Licensee to OT with respect to the granting of Software Licenses; </w:t>
      </w:r>
      <w:r w:rsidR="00C83994">
        <w:rPr>
          <w:b/>
        </w:rPr>
        <w:t xml:space="preserve">“License Model” </w:t>
      </w:r>
      <w:r w:rsidR="00C83994">
        <w:t xml:space="preserve">means the description of the conditions, limitations and restrictions associated with the Software License which govern the use of the Software, as set out in the applicable License Model Schedule; </w:t>
      </w:r>
    </w:p>
    <w:p w14:paraId="03960C28" w14:textId="77777777" w:rsidR="001639DC" w:rsidRDefault="00C83994">
      <w:pPr>
        <w:ind w:left="-5" w:right="7"/>
      </w:pPr>
      <w:r>
        <w:rPr>
          <w:b/>
        </w:rPr>
        <w:t xml:space="preserve">“License Model Schedule” </w:t>
      </w:r>
      <w:r>
        <w:t xml:space="preserve">for each individual Software License means the version of the document(s) entitled “License Model </w:t>
      </w:r>
    </w:p>
    <w:p w14:paraId="2E5D01B8" w14:textId="77777777" w:rsidR="001639DC" w:rsidRDefault="00C83994">
      <w:pPr>
        <w:ind w:left="-5" w:right="7"/>
      </w:pPr>
      <w:r>
        <w:t>Schedule” applicable to the licensed Software posted at</w:t>
      </w:r>
      <w:hyperlink r:id="rId27">
        <w:r>
          <w:t xml:space="preserve"> </w:t>
        </w:r>
      </w:hyperlink>
      <w:hyperlink r:id="rId28">
        <w:r>
          <w:rPr>
            <w:color w:val="0000FF"/>
            <w:u w:val="single"/>
          </w:rPr>
          <w:t>http://www.opentext.com/agreements</w:t>
        </w:r>
      </w:hyperlink>
      <w:hyperlink r:id="rId29">
        <w:r>
          <w:rPr>
            <w:color w:val="0000FF"/>
          </w:rPr>
          <w:t xml:space="preserve"> </w:t>
        </w:r>
      </w:hyperlink>
      <w:hyperlink r:id="rId30">
        <w:r>
          <w:t>i</w:t>
        </w:r>
      </w:hyperlink>
      <w:r>
        <w:t xml:space="preserve">n effect on the date of the applicable </w:t>
      </w:r>
    </w:p>
    <w:p w14:paraId="4117C99C" w14:textId="77777777" w:rsidR="001639DC" w:rsidRDefault="00C83994">
      <w:pPr>
        <w:ind w:left="-5" w:right="7"/>
      </w:pPr>
      <w:r>
        <w:t xml:space="preserve">Transaction Document; </w:t>
      </w:r>
    </w:p>
    <w:p w14:paraId="489E3060" w14:textId="77777777" w:rsidR="001639DC" w:rsidRDefault="00C83994">
      <w:pPr>
        <w:ind w:left="-5" w:right="7"/>
      </w:pPr>
      <w:r>
        <w:rPr>
          <w:b/>
        </w:rPr>
        <w:t xml:space="preserve">“Physical Media” </w:t>
      </w:r>
      <w:r>
        <w:t xml:space="preserve">means the physical media or hardware containing or enabling Software; </w:t>
      </w:r>
    </w:p>
    <w:p w14:paraId="77B2B062" w14:textId="77777777" w:rsidR="001639DC" w:rsidRDefault="00C83994">
      <w:pPr>
        <w:spacing w:after="4" w:line="242" w:lineRule="auto"/>
        <w:ind w:left="-5"/>
      </w:pPr>
      <w:r>
        <w:rPr>
          <w:b/>
          <w:sz w:val="18"/>
          <w:szCs w:val="18"/>
        </w:rPr>
        <w:t xml:space="preserve">“Reseller </w:t>
      </w:r>
      <w:r>
        <w:rPr>
          <w:sz w:val="18"/>
          <w:szCs w:val="18"/>
        </w:rPr>
        <w:t xml:space="preserve">means an authorized OT reseller; </w:t>
      </w:r>
    </w:p>
    <w:p w14:paraId="1D2593D1" w14:textId="77777777" w:rsidR="001639DC" w:rsidRDefault="00C83994">
      <w:pPr>
        <w:ind w:left="-5" w:right="7"/>
      </w:pPr>
      <w:r>
        <w:rPr>
          <w:b/>
        </w:rPr>
        <w:t xml:space="preserve">“Software” </w:t>
      </w:r>
      <w:r>
        <w:t xml:space="preserve">means the software products, Documentation, and Support Software licensed to Licensee under this EULA, including all copies made by Licensee and may, where the meaning so implies, refer to all of the Software or portions thereof; </w:t>
      </w:r>
      <w:r>
        <w:rPr>
          <w:b/>
          <w:sz w:val="18"/>
          <w:szCs w:val="18"/>
        </w:rPr>
        <w:t xml:space="preserve">“Software License” </w:t>
      </w:r>
      <w:r>
        <w:rPr>
          <w:sz w:val="18"/>
          <w:szCs w:val="18"/>
        </w:rPr>
        <w:t xml:space="preserve">means a license for the Software granted under this EULA to the Licensee; </w:t>
      </w:r>
    </w:p>
    <w:p w14:paraId="45A48846" w14:textId="77777777" w:rsidR="001639DC" w:rsidRDefault="00C83994">
      <w:pPr>
        <w:ind w:left="-5" w:right="7"/>
      </w:pPr>
      <w:r>
        <w:rPr>
          <w:b/>
        </w:rPr>
        <w:t xml:space="preserve">“Maintenance Fees” </w:t>
      </w:r>
      <w:r>
        <w:t xml:space="preserve">means the non-refundable fees payable annually by Licensee to OT for Support Services; </w:t>
      </w:r>
    </w:p>
    <w:p w14:paraId="540CCCFB" w14:textId="77777777" w:rsidR="001639DC" w:rsidRDefault="00C83994">
      <w:pPr>
        <w:ind w:left="-5" w:right="7"/>
      </w:pPr>
      <w:r>
        <w:rPr>
          <w:b/>
        </w:rPr>
        <w:t xml:space="preserve">“Support Handbook” </w:t>
      </w:r>
      <w:r>
        <w:t xml:space="preserve">means the then current version of the software maintenance program handbook published at </w:t>
      </w:r>
      <w:hyperlink r:id="rId31">
        <w:r>
          <w:rPr>
            <w:color w:val="0000FF"/>
            <w:u w:val="single"/>
          </w:rPr>
          <w:t>www.opentext.com/agreements</w:t>
        </w:r>
      </w:hyperlink>
      <w:hyperlink r:id="rId32">
        <w:r>
          <w:t xml:space="preserve">; </w:t>
        </w:r>
      </w:hyperlink>
    </w:p>
    <w:p w14:paraId="0A209413" w14:textId="77777777" w:rsidR="001639DC" w:rsidRDefault="00C83994">
      <w:pPr>
        <w:ind w:left="-5" w:right="7"/>
      </w:pPr>
      <w:r>
        <w:rPr>
          <w:b/>
        </w:rPr>
        <w:t xml:space="preserve">“Support Services” </w:t>
      </w:r>
      <w:r>
        <w:t xml:space="preserve">means the software maintenance and support services described in the Support Handbook; </w:t>
      </w:r>
    </w:p>
    <w:p w14:paraId="1EDD5D0B" w14:textId="77777777" w:rsidR="001639DC" w:rsidRDefault="00C83994">
      <w:pPr>
        <w:ind w:left="-5" w:right="7"/>
      </w:pPr>
      <w:r>
        <w:rPr>
          <w:b/>
        </w:rPr>
        <w:t xml:space="preserve">“Support Services Term” </w:t>
      </w:r>
      <w:r>
        <w:t xml:space="preserve">means each twelve (12) month period beginning on the date the Software is delivered by OT to Licensee (which may be accomplished by making the Software available by electronic download) or the anniversary thereof. </w:t>
      </w:r>
    </w:p>
    <w:p w14:paraId="2D47350E" w14:textId="77777777" w:rsidR="001639DC" w:rsidRDefault="00C83994">
      <w:pPr>
        <w:ind w:left="-5" w:right="7"/>
      </w:pPr>
      <w:r>
        <w:rPr>
          <w:b/>
        </w:rPr>
        <w:t xml:space="preserve">“Support Software” </w:t>
      </w:r>
      <w:r>
        <w:t xml:space="preserve">means all maintenance and support software, updates, upgrades, patches, fixes, modifications, ported versions, or new versions of the Software provided to Licensee as part of Support Services, together with all related Documentation provided to Licensee pursuant to such program; </w:t>
      </w:r>
    </w:p>
    <w:p w14:paraId="1FCB2D8F" w14:textId="77777777" w:rsidR="001639DC" w:rsidRDefault="00C83994">
      <w:pPr>
        <w:ind w:left="-5" w:right="7"/>
      </w:pPr>
      <w:r>
        <w:rPr>
          <w:b/>
        </w:rPr>
        <w:lastRenderedPageBreak/>
        <w:t xml:space="preserve">“Taxes” </w:t>
      </w:r>
      <w:r>
        <w:t xml:space="preserve">means the sales, use, consumption, goods and services, and value-added taxes imposed by the appropriate governments arising out of granting of licenses and delivery of Software or the delivery of Support Services, under this EULA, except taxes imposed on OT's income; </w:t>
      </w:r>
    </w:p>
    <w:p w14:paraId="509F87C3" w14:textId="77777777" w:rsidR="001639DC" w:rsidRDefault="00C83994">
      <w:pPr>
        <w:spacing w:after="4" w:line="242" w:lineRule="auto"/>
        <w:ind w:left="-5"/>
      </w:pPr>
      <w:r>
        <w:rPr>
          <w:b/>
          <w:sz w:val="18"/>
          <w:szCs w:val="18"/>
        </w:rPr>
        <w:t xml:space="preserve">“Third Party Software” </w:t>
      </w:r>
      <w:r>
        <w:rPr>
          <w:sz w:val="18"/>
          <w:szCs w:val="18"/>
        </w:rPr>
        <w:t xml:space="preserve">means software products owned and licensed directly by third parties to the Licensee; </w:t>
      </w:r>
    </w:p>
    <w:p w14:paraId="13282241" w14:textId="77777777" w:rsidR="001639DC" w:rsidRDefault="00C83994">
      <w:pPr>
        <w:spacing w:after="172"/>
        <w:ind w:left="-5" w:right="7"/>
      </w:pPr>
      <w:r>
        <w:rPr>
          <w:b/>
        </w:rPr>
        <w:t xml:space="preserve">“Transaction Document” </w:t>
      </w:r>
      <w:r>
        <w:t xml:space="preserve">includes: a) a written order schedule signed by both parties which references this EULA, b) a quotation issued by OT and signed by the Licensee, c) an invoice issued by OT, d) a renewal notice issued by OT or an Affiliate for Support Services, or e) any other document that references this EULA and is agreed to by OT in writing. If and to the extent of any inconsistency between two or more Transaction Documents, the priority of the Transaction Documents will be interpreted in the order listed above. All Transaction Documents are governed by this EULA. </w:t>
      </w:r>
    </w:p>
    <w:p w14:paraId="05B6C5FF" w14:textId="77777777" w:rsidR="001639DC" w:rsidRDefault="00C83994">
      <w:pPr>
        <w:pStyle w:val="Nadpis1"/>
        <w:tabs>
          <w:tab w:val="center" w:pos="1868"/>
        </w:tabs>
        <w:ind w:left="-15"/>
      </w:pPr>
      <w:r>
        <w:t>2.0</w:t>
      </w:r>
      <w:r>
        <w:rPr>
          <w:rFonts w:ascii="Arial" w:eastAsia="Arial" w:hAnsi="Arial" w:cs="Arial"/>
          <w:u w:val="none"/>
        </w:rPr>
        <w:t xml:space="preserve"> </w:t>
      </w:r>
      <w:r>
        <w:rPr>
          <w:rFonts w:ascii="Arial" w:eastAsia="Arial" w:hAnsi="Arial" w:cs="Arial"/>
          <w:u w:val="none"/>
        </w:rPr>
        <w:tab/>
      </w:r>
      <w:r>
        <w:t>Ownership of the Software</w:t>
      </w:r>
      <w:r>
        <w:rPr>
          <w:u w:val="none"/>
        </w:rPr>
        <w:t xml:space="preserve"> </w:t>
      </w:r>
    </w:p>
    <w:p w14:paraId="4FD68BD2" w14:textId="77777777" w:rsidR="001639DC" w:rsidRDefault="00C83994">
      <w:pPr>
        <w:spacing w:after="172"/>
        <w:ind w:left="-5" w:right="7"/>
      </w:pPr>
      <w:r>
        <w:rPr>
          <w:b/>
          <w:sz w:val="18"/>
          <w:szCs w:val="18"/>
        </w:rPr>
        <w:t xml:space="preserve">2.1.1 </w:t>
      </w:r>
      <w:r>
        <w:rPr>
          <w:b/>
        </w:rPr>
        <w:t>Ownership.</w:t>
      </w:r>
      <w:r>
        <w:t xml:space="preserve"> None of the Software is being sold. All ownership, intellectual property, and other rights and interests in the Software remain solely with Open Text Corporation, its Affiliates or its licensors. The source code of the Software is a trade secret of Open Text Corporation, its Affiliates or its licensors, and is their confidential information. </w:t>
      </w:r>
    </w:p>
    <w:p w14:paraId="74BEDC5D" w14:textId="77777777" w:rsidR="001639DC" w:rsidRDefault="00C83994">
      <w:pPr>
        <w:pStyle w:val="Nadpis1"/>
        <w:tabs>
          <w:tab w:val="center" w:pos="1333"/>
        </w:tabs>
        <w:ind w:left="-15"/>
      </w:pPr>
      <w:r>
        <w:t>3.0</w:t>
      </w:r>
      <w:r>
        <w:rPr>
          <w:rFonts w:ascii="Arial" w:eastAsia="Arial" w:hAnsi="Arial" w:cs="Arial"/>
          <w:u w:val="none"/>
        </w:rPr>
        <w:t xml:space="preserve"> </w:t>
      </w:r>
      <w:r>
        <w:rPr>
          <w:rFonts w:ascii="Arial" w:eastAsia="Arial" w:hAnsi="Arial" w:cs="Arial"/>
          <w:u w:val="none"/>
        </w:rPr>
        <w:tab/>
      </w:r>
      <w:r>
        <w:t>License Grant</w:t>
      </w:r>
      <w:r>
        <w:rPr>
          <w:u w:val="none"/>
        </w:rPr>
        <w:t xml:space="preserve"> </w:t>
      </w:r>
    </w:p>
    <w:p w14:paraId="5918DD43" w14:textId="77777777" w:rsidR="001639DC" w:rsidRDefault="00C83994">
      <w:pPr>
        <w:ind w:left="-5" w:right="7"/>
      </w:pPr>
      <w:r>
        <w:rPr>
          <w:b/>
          <w:sz w:val="18"/>
          <w:szCs w:val="18"/>
        </w:rPr>
        <w:t xml:space="preserve">3.1 </w:t>
      </w:r>
      <w:r>
        <w:rPr>
          <w:b/>
        </w:rPr>
        <w:t xml:space="preserve">Grant of License. </w:t>
      </w:r>
      <w:r>
        <w:t xml:space="preserve">Except as otherwise stated in the License Documents and subject to Licensee’s payment of the License Fees and Taxes in full, OT grants to Licensee a non-transferable (save as provided herein), worldwide, nonexclusive, perpetual (unless stated to be a time limited term), internal business use license (unless otherwise stated in the License Model Schedule) to download, install and execute the Software identified in the applicable Transaction Document in object code only, subject to the </w:t>
      </w:r>
    </w:p>
    <w:p w14:paraId="29ED2863" w14:textId="77777777" w:rsidR="001639DC" w:rsidRDefault="00C83994">
      <w:pPr>
        <w:spacing w:line="259" w:lineRule="auto"/>
        <w:jc w:val="left"/>
      </w:pPr>
      <w:r>
        <w:t xml:space="preserve"> </w:t>
      </w:r>
    </w:p>
    <w:p w14:paraId="0A3317AA" w14:textId="77777777" w:rsidR="001639DC" w:rsidRDefault="00C83994">
      <w:pPr>
        <w:spacing w:line="259" w:lineRule="auto"/>
        <w:jc w:val="left"/>
      </w:pPr>
      <w:r>
        <w:t xml:space="preserve"> </w:t>
      </w:r>
    </w:p>
    <w:p w14:paraId="651F82FD" w14:textId="77777777" w:rsidR="001639DC" w:rsidRDefault="00C83994">
      <w:pPr>
        <w:ind w:left="-5" w:right="7"/>
      </w:pPr>
      <w:r>
        <w:t xml:space="preserve">License Models, restrictions, quantities, conditions, and limitations stated in the License Documents. OT reserves all rights not expressly granted to Licensee in a written document signed by both parties. </w:t>
      </w:r>
    </w:p>
    <w:p w14:paraId="04F10087" w14:textId="77777777" w:rsidR="001639DC" w:rsidRDefault="00C83994">
      <w:pPr>
        <w:spacing w:after="4" w:line="242" w:lineRule="auto"/>
        <w:ind w:left="-5"/>
      </w:pPr>
      <w:r>
        <w:rPr>
          <w:b/>
          <w:sz w:val="18"/>
          <w:szCs w:val="18"/>
        </w:rPr>
        <w:t xml:space="preserve">3.2 Applicable License Models. </w:t>
      </w:r>
      <w:r>
        <w:rPr>
          <w:sz w:val="18"/>
          <w:szCs w:val="18"/>
        </w:rPr>
        <w:t xml:space="preserve">The License Model and any restrictions for the Software will be stated in the Transaction Document. If no License Model or restrictions are specified in the Transaction Document, the License Model (and any capacities) for which OT has been paid License Fees will apply. </w:t>
      </w:r>
    </w:p>
    <w:p w14:paraId="2CADDBA3" w14:textId="77777777" w:rsidR="001639DC" w:rsidRDefault="00C83994">
      <w:pPr>
        <w:spacing w:after="4" w:line="242" w:lineRule="auto"/>
        <w:ind w:left="-5"/>
      </w:pPr>
      <w:r>
        <w:rPr>
          <w:b/>
          <w:sz w:val="18"/>
          <w:szCs w:val="18"/>
        </w:rPr>
        <w:t xml:space="preserve">3.3 Allocation of Licenses to Affiliates. </w:t>
      </w:r>
      <w:r>
        <w:rPr>
          <w:sz w:val="18"/>
          <w:szCs w:val="18"/>
        </w:rPr>
        <w:t xml:space="preserve">Unless prohibited under the applicable License Document, the Licensee may allocate Software Licenses to its Affiliates, provided: (a) the Licensee remains responsible for the Affiliate’s compliance with the License Documents; and (b) the Licensee is liable and indemnifies OT for any breach of the License Documents by an </w:t>
      </w:r>
    </w:p>
    <w:p w14:paraId="24CFD695" w14:textId="77777777" w:rsidR="001639DC" w:rsidRDefault="00C83994">
      <w:pPr>
        <w:spacing w:after="154" w:line="242" w:lineRule="auto"/>
        <w:ind w:left="-5"/>
      </w:pPr>
      <w:r>
        <w:rPr>
          <w:sz w:val="18"/>
          <w:szCs w:val="18"/>
        </w:rPr>
        <w:t xml:space="preserve">Affiliate </w:t>
      </w:r>
    </w:p>
    <w:p w14:paraId="5467C7DA" w14:textId="77777777" w:rsidR="001639DC" w:rsidRDefault="00C83994">
      <w:pPr>
        <w:pStyle w:val="Nadpis1"/>
        <w:tabs>
          <w:tab w:val="center" w:pos="1526"/>
        </w:tabs>
        <w:ind w:left="-15"/>
      </w:pPr>
      <w:r>
        <w:t>4.0</w:t>
      </w:r>
      <w:r>
        <w:rPr>
          <w:rFonts w:ascii="Arial" w:eastAsia="Arial" w:hAnsi="Arial" w:cs="Arial"/>
          <w:u w:val="none"/>
        </w:rPr>
        <w:t xml:space="preserve"> </w:t>
      </w:r>
      <w:r>
        <w:rPr>
          <w:rFonts w:ascii="Arial" w:eastAsia="Arial" w:hAnsi="Arial" w:cs="Arial"/>
          <w:u w:val="none"/>
        </w:rPr>
        <w:tab/>
      </w:r>
      <w:r>
        <w:t>Authorized Copies</w:t>
      </w:r>
      <w:r>
        <w:rPr>
          <w:u w:val="none"/>
        </w:rPr>
        <w:t xml:space="preserve"> </w:t>
      </w:r>
    </w:p>
    <w:p w14:paraId="2C6AD91A" w14:textId="77777777" w:rsidR="001639DC" w:rsidRDefault="00C83994">
      <w:pPr>
        <w:spacing w:after="172"/>
        <w:ind w:left="-5" w:right="7"/>
      </w:pPr>
      <w:r>
        <w:rPr>
          <w:b/>
          <w:sz w:val="18"/>
          <w:szCs w:val="18"/>
        </w:rPr>
        <w:t xml:space="preserve">4.1 </w:t>
      </w:r>
      <w:r>
        <w:rPr>
          <w:b/>
        </w:rPr>
        <w:t xml:space="preserve">Software and Documentation. </w:t>
      </w:r>
      <w:r>
        <w:t xml:space="preserve">Licensee may make as many copies of the Software necessary for it to use the Software as licensed. Each copy of the Software made by Licensee must contain the same copyright and other notices that appear on the original copy. Licensee will not modify the Documentation. Documentation may: (a) only be used to support Licensee’s use of the Software; (b) not be republished or redistributed to any unauthorized third party; and (c) not be distributed or used to conduct training for which Licensee, or any other party, receives a fee. Licensee will not copy any system schema reference document related to the Software. </w:t>
      </w:r>
    </w:p>
    <w:p w14:paraId="1A178B4C" w14:textId="77777777" w:rsidR="001639DC" w:rsidRDefault="00C83994">
      <w:pPr>
        <w:pStyle w:val="Nadpis1"/>
        <w:tabs>
          <w:tab w:val="center" w:pos="1256"/>
        </w:tabs>
        <w:ind w:left="-15"/>
      </w:pPr>
      <w:r>
        <w:t>5.0</w:t>
      </w:r>
      <w:r>
        <w:rPr>
          <w:rFonts w:ascii="Arial" w:eastAsia="Arial" w:hAnsi="Arial" w:cs="Arial"/>
          <w:u w:val="none"/>
        </w:rPr>
        <w:t xml:space="preserve"> </w:t>
      </w:r>
      <w:r>
        <w:rPr>
          <w:rFonts w:ascii="Arial" w:eastAsia="Arial" w:hAnsi="Arial" w:cs="Arial"/>
          <w:u w:val="none"/>
        </w:rPr>
        <w:tab/>
      </w:r>
      <w:r>
        <w:t>Restrictions</w:t>
      </w:r>
      <w:r>
        <w:rPr>
          <w:u w:val="none"/>
        </w:rPr>
        <w:t xml:space="preserve"> </w:t>
      </w:r>
    </w:p>
    <w:p w14:paraId="144795B7" w14:textId="77777777" w:rsidR="001639DC" w:rsidRDefault="00C83994">
      <w:pPr>
        <w:ind w:left="-5" w:right="7"/>
      </w:pPr>
      <w:r>
        <w:rPr>
          <w:b/>
          <w:sz w:val="18"/>
          <w:szCs w:val="18"/>
        </w:rPr>
        <w:t xml:space="preserve">5.1 </w:t>
      </w:r>
      <w:r>
        <w:rPr>
          <w:b/>
        </w:rPr>
        <w:t xml:space="preserve">General Restrictions. </w:t>
      </w:r>
      <w:r>
        <w:t xml:space="preserve">Except as provided in the License Documents, Licensee will not and will not permit any other party to: (a) assign, transfer, give, distribute, reproduce, transmit, sell, lease, license, sublicense, publicly display or perform, redistribute or encumber the Software by any means to any party; (b) rent, loan or use the Software for service bureau or time-sharing purposes, or permit other individuals or entities to create Internet “links” to the Software or “frame” or “mirror” the Software on any other server or wireless or Internet-based device, or in any other way allow third parties to access, use, and/or exploit the Software; (c) use the Software, in whole or in part, to create a competitive offering; (d) charge a fee to any party for access to or use of the Software; (e) use the Software in a manner inconsistent with the License Documents. </w:t>
      </w:r>
    </w:p>
    <w:p w14:paraId="19473C50" w14:textId="77777777" w:rsidR="001639DC" w:rsidRDefault="00C83994">
      <w:pPr>
        <w:ind w:left="-5" w:right="7"/>
      </w:pPr>
      <w:r>
        <w:rPr>
          <w:b/>
          <w:sz w:val="18"/>
          <w:szCs w:val="18"/>
        </w:rPr>
        <w:t xml:space="preserve">5.2 </w:t>
      </w:r>
      <w:r>
        <w:rPr>
          <w:b/>
        </w:rPr>
        <w:t xml:space="preserve">Further Restrictions. </w:t>
      </w:r>
      <w:r>
        <w:t xml:space="preserve">Licensee will not and will not permit any other party to disclose results of any benchmark or other performance, evaluation, or test run on or related to the Software. Licensee acknowledges that the Software is not fault-tolerant and not designed, manufactured, or intended for use or resale as online control equipment in hazardous environments requiring fail- safe performance and consequently will not use the Software for (a) the on-line control of aircraft, air traffic, aircraft navigation, or aircraft communications; (b) in the design, construction, operation or maintenance of any nuclear facility; (c) medical or surgical applications; or (d) any other application in which failure could cause personal injury or death. Except as expressly permitted under applicable law, Licensee will not and will not permit any other party to modify, adapt, translate, reverse engineer, decompile, </w:t>
      </w:r>
      <w:r>
        <w:lastRenderedPageBreak/>
        <w:t xml:space="preserve">disassemble, decrypt, port, emulate the functionality, reverse compile, reverse assemble, or otherwise reduce or attempt to discover any source code or underlying structures, ideas, or algorithms of the Software or any confidential information or trade secret. </w:t>
      </w:r>
    </w:p>
    <w:p w14:paraId="5CE190B1" w14:textId="77777777" w:rsidR="001639DC" w:rsidRDefault="00C83994">
      <w:pPr>
        <w:ind w:left="-5" w:right="7"/>
      </w:pPr>
      <w:r>
        <w:rPr>
          <w:b/>
          <w:sz w:val="18"/>
          <w:szCs w:val="18"/>
        </w:rPr>
        <w:t xml:space="preserve">5.3 </w:t>
      </w:r>
      <w:r>
        <w:rPr>
          <w:b/>
        </w:rPr>
        <w:t xml:space="preserve">Derivative Works / Improvements. </w:t>
      </w:r>
      <w:r>
        <w:t xml:space="preserve">Licensee is prohibited from using the Software to create any change, translation, adaptation, arrangement, addition, modification, extension, upgrade, update, improvement, (including patentable improvements), new version, or other derivative work or functionally equivalent works of or to the Software. Notwithstanding the foregoing, if any of the Software is provided to the Licensee in source code format (or any other format that can be modified), the Licensee may modify such portion of the Software for the sole purpose of using the Software in accordance with this EULA and OT will unconditionally and immediately upon creation solely own all modified portions and Licensee will irrevocably assign to OT in perpetuity all worldwide intellectual property and any other proprietary rights in and to any modifications of the Software. OT hereby accepts all such assignments. Licensee shall free of any charge or costs execute and procure that any of his subcontractors execute all documents and actions OT reasonably considers necessary to give effect to this section 5.3. </w:t>
      </w:r>
    </w:p>
    <w:p w14:paraId="5478C904" w14:textId="77777777" w:rsidR="001639DC" w:rsidRDefault="00C83994">
      <w:pPr>
        <w:spacing w:after="171"/>
        <w:ind w:left="-5" w:right="7"/>
      </w:pPr>
      <w:r>
        <w:rPr>
          <w:b/>
          <w:sz w:val="18"/>
          <w:szCs w:val="18"/>
        </w:rPr>
        <w:t xml:space="preserve">5.4 </w:t>
      </w:r>
      <w:r>
        <w:rPr>
          <w:b/>
          <w:sz w:val="18"/>
          <w:szCs w:val="18"/>
        </w:rPr>
        <w:tab/>
      </w:r>
      <w:r>
        <w:rPr>
          <w:b/>
        </w:rPr>
        <w:t xml:space="preserve">Interfacing and Interactive Software. </w:t>
      </w:r>
      <w:r>
        <w:t xml:space="preserve">Licensee may not permit any software products not licensed by OT to interface or interact with the Software, unless accomplished through the use of application program interfaces provided by OT. </w:t>
      </w:r>
    </w:p>
    <w:p w14:paraId="38C47BD1" w14:textId="77777777" w:rsidR="001639DC" w:rsidRDefault="00C83994">
      <w:pPr>
        <w:pStyle w:val="Nadpis1"/>
        <w:tabs>
          <w:tab w:val="center" w:pos="1923"/>
        </w:tabs>
        <w:ind w:left="-15"/>
      </w:pPr>
      <w:r>
        <w:t>6.0</w:t>
      </w:r>
      <w:r>
        <w:rPr>
          <w:rFonts w:ascii="Arial" w:eastAsia="Arial" w:hAnsi="Arial" w:cs="Arial"/>
          <w:u w:val="none"/>
        </w:rPr>
        <w:t xml:space="preserve"> </w:t>
      </w:r>
      <w:r>
        <w:rPr>
          <w:rFonts w:ascii="Arial" w:eastAsia="Arial" w:hAnsi="Arial" w:cs="Arial"/>
          <w:u w:val="none"/>
        </w:rPr>
        <w:tab/>
      </w:r>
      <w:r>
        <w:t>Ordering Software Licenses</w:t>
      </w:r>
      <w:r>
        <w:rPr>
          <w:u w:val="none"/>
        </w:rPr>
        <w:t xml:space="preserve"> </w:t>
      </w:r>
    </w:p>
    <w:p w14:paraId="64CEC0D6" w14:textId="77777777" w:rsidR="001639DC" w:rsidRDefault="00C83994">
      <w:pPr>
        <w:ind w:left="-5" w:right="7"/>
      </w:pPr>
      <w:r>
        <w:rPr>
          <w:b/>
          <w:sz w:val="18"/>
          <w:szCs w:val="18"/>
        </w:rPr>
        <w:t xml:space="preserve">6.1 </w:t>
      </w:r>
      <w:r>
        <w:rPr>
          <w:b/>
          <w:sz w:val="18"/>
          <w:szCs w:val="18"/>
        </w:rPr>
        <w:tab/>
      </w:r>
      <w:r>
        <w:rPr>
          <w:b/>
        </w:rPr>
        <w:t xml:space="preserve">Direct Orders. </w:t>
      </w:r>
      <w:r>
        <w:t xml:space="preserve">If Licensee orders Software directly from OT, the Software must be identified on a Transaction Document acceptable to OT. </w:t>
      </w:r>
    </w:p>
    <w:p w14:paraId="6AC8CF9F" w14:textId="77777777" w:rsidR="001639DC" w:rsidRDefault="00C83994">
      <w:pPr>
        <w:ind w:left="-5" w:right="7"/>
      </w:pPr>
      <w:r>
        <w:rPr>
          <w:b/>
          <w:sz w:val="18"/>
          <w:szCs w:val="18"/>
        </w:rPr>
        <w:t xml:space="preserve">6.2 </w:t>
      </w:r>
      <w:r>
        <w:rPr>
          <w:b/>
        </w:rPr>
        <w:t xml:space="preserve">Orders through an OT Reseller. </w:t>
      </w:r>
      <w:r>
        <w:t xml:space="preserve">Software Licenses ordered through a Reseller are governed by the license grant set out in this EULA and the License Model description set out in the License Model Schedule. The License Model will be stated in an order document between Licensee and Reseller. If Reseller does not notify Licensee of the correct License Model, then the License Model for which OT has been paid License Fees will apply. </w:t>
      </w:r>
    </w:p>
    <w:p w14:paraId="34D1E699" w14:textId="77777777" w:rsidR="001639DC" w:rsidRDefault="00C83994">
      <w:pPr>
        <w:spacing w:after="7" w:line="248" w:lineRule="auto"/>
        <w:ind w:left="-5"/>
        <w:jc w:val="left"/>
      </w:pPr>
      <w:r>
        <w:rPr>
          <w:b/>
          <w:sz w:val="18"/>
          <w:szCs w:val="18"/>
        </w:rPr>
        <w:t xml:space="preserve">6.3 </w:t>
      </w:r>
      <w:r>
        <w:rPr>
          <w:b/>
          <w:sz w:val="18"/>
          <w:szCs w:val="18"/>
        </w:rPr>
        <w:tab/>
      </w:r>
      <w:r>
        <w:rPr>
          <w:b/>
        </w:rPr>
        <w:t xml:space="preserve">Risk of Loss and Shipping Terms. </w:t>
      </w:r>
      <w:r>
        <w:t xml:space="preserve">The Software is deemed delivered on the earlier of (a) when it is made available by OT for electronic download, or (b) when OT delivers the Software on Physical Media. Title to the Physical Media and all risk of loss for the Physical Media will pass to Licensee when delivered by OT to the shipping dock of the OT shipping facility. </w:t>
      </w:r>
    </w:p>
    <w:p w14:paraId="73883B58" w14:textId="77777777" w:rsidR="001639DC" w:rsidRDefault="00C83994">
      <w:pPr>
        <w:ind w:left="-5" w:right="7"/>
      </w:pPr>
      <w:r>
        <w:rPr>
          <w:b/>
          <w:sz w:val="18"/>
          <w:szCs w:val="18"/>
        </w:rPr>
        <w:t xml:space="preserve">6.4 </w:t>
      </w:r>
      <w:r>
        <w:rPr>
          <w:b/>
        </w:rPr>
        <w:t xml:space="preserve">Invoicing and Payment. </w:t>
      </w:r>
      <w:r>
        <w:t xml:space="preserve">OT may invoice Licensee for Fees and Taxes upon delivery of Software and annually in advance for the applicable Support Services Term. All Fees and Taxes due to OT by Licensee are due and payable upon Licensee’s receipt of an invoice from OT. Fees do not include Taxes which are the responsibility of Licensee. If OT is obligated to pay Taxes on behalf of Licensee, Licensee will reimburse OT in full promptly following receipt of OT’s invoice. OT will issue a tax invoice where required by applicable law. All Fees and Taxes due to OT under this EULA are payable in the currency specified in the Transaction Document. All Fees and Taxes due to OT which are not paid in full within 30 days following its due date will bear interest at a rate of 1.5% per month (18% per annum) or the maximum amount allowed by law, if less, on the unpaid portion until fully paid. This subsection does not apply if Software is purchased through an Reseller. </w:t>
      </w:r>
    </w:p>
    <w:p w14:paraId="4C598EE9" w14:textId="77777777" w:rsidR="001639DC" w:rsidRDefault="00C83994">
      <w:pPr>
        <w:ind w:left="-5" w:right="7"/>
      </w:pPr>
      <w:r>
        <w:rPr>
          <w:b/>
          <w:sz w:val="18"/>
          <w:szCs w:val="18"/>
        </w:rPr>
        <w:t xml:space="preserve">6.5 </w:t>
      </w:r>
      <w:r>
        <w:rPr>
          <w:b/>
        </w:rPr>
        <w:t xml:space="preserve">Over Usage. </w:t>
      </w:r>
      <w:r>
        <w:t xml:space="preserve">OT may invoice Licensee for Fees and Taxes payable by Licensee due to use of or authorization to access the Software in excess of the number or type of Software Licenses granted by OT. </w:t>
      </w:r>
    </w:p>
    <w:p w14:paraId="22CC68DF" w14:textId="77777777" w:rsidR="001639DC" w:rsidRDefault="00C83994">
      <w:pPr>
        <w:ind w:left="-5" w:right="7"/>
      </w:pPr>
      <w:r>
        <w:rPr>
          <w:b/>
          <w:sz w:val="18"/>
          <w:szCs w:val="18"/>
        </w:rPr>
        <w:t xml:space="preserve">6.6 </w:t>
      </w:r>
      <w:r>
        <w:rPr>
          <w:b/>
        </w:rPr>
        <w:t xml:space="preserve">Licensee Affiliate Orders. </w:t>
      </w:r>
      <w:r>
        <w:t xml:space="preserve">Licensee’s Affiliates that order Software Licenses are bound by the terms and conditions of this EULA as if it were the Licensee. Licensee and its Affiliates are jointly and severally liable to OT for any breach of this EULA. </w:t>
      </w:r>
    </w:p>
    <w:p w14:paraId="16DFFFE4" w14:textId="77777777" w:rsidR="001639DC" w:rsidRDefault="00C83994">
      <w:pPr>
        <w:spacing w:line="259" w:lineRule="auto"/>
        <w:jc w:val="left"/>
      </w:pPr>
      <w:r>
        <w:t xml:space="preserve"> </w:t>
      </w:r>
      <w:r>
        <w:tab/>
        <w:t xml:space="preserve"> </w:t>
      </w:r>
    </w:p>
    <w:p w14:paraId="2A688F3E" w14:textId="77777777" w:rsidR="001639DC" w:rsidRDefault="00C83994">
      <w:pPr>
        <w:spacing w:line="259" w:lineRule="auto"/>
        <w:jc w:val="left"/>
      </w:pPr>
      <w:r>
        <w:t xml:space="preserve"> </w:t>
      </w:r>
    </w:p>
    <w:p w14:paraId="084C06F5" w14:textId="77777777" w:rsidR="001639DC" w:rsidRDefault="00C83994">
      <w:pPr>
        <w:ind w:left="-5" w:right="7"/>
      </w:pPr>
      <w:r>
        <w:rPr>
          <w:b/>
          <w:sz w:val="18"/>
          <w:szCs w:val="18"/>
        </w:rPr>
        <w:t xml:space="preserve">6.8 </w:t>
      </w:r>
      <w:r>
        <w:rPr>
          <w:b/>
        </w:rPr>
        <w:t xml:space="preserve">OT Affiliate Orders. </w:t>
      </w:r>
      <w:r>
        <w:t xml:space="preserve">OT Affiliates may fulfill orders pursuant to a Transaction Document in which case the OT Affiliate is bound by all of the terms and conditions of this EULA as if it were OT. </w:t>
      </w:r>
    </w:p>
    <w:p w14:paraId="67B398C7" w14:textId="77777777" w:rsidR="001639DC" w:rsidRDefault="00C83994">
      <w:pPr>
        <w:spacing w:after="172"/>
        <w:ind w:left="-5" w:right="7"/>
      </w:pPr>
      <w:r>
        <w:rPr>
          <w:b/>
          <w:sz w:val="18"/>
          <w:szCs w:val="18"/>
        </w:rPr>
        <w:t xml:space="preserve">6.9 </w:t>
      </w:r>
      <w:r>
        <w:rPr>
          <w:b/>
        </w:rPr>
        <w:t xml:space="preserve">Withholding Tax. </w:t>
      </w:r>
      <w:r>
        <w:t>Licensee is responsible for paying the full Fees to OT without any setoff or deduction. Should OT or Licensee be obligated by law to deduct and withhold any amounts ("</w:t>
      </w:r>
      <w:r>
        <w:rPr>
          <w:b/>
        </w:rPr>
        <w:t>Withholding Tax</w:t>
      </w:r>
      <w:r>
        <w:t>") from any payment or payments otherwise due and payable to the other party to this EULA and remit such Withholding Tax to any government, government department, body, or agency ("</w:t>
      </w:r>
      <w:r>
        <w:rPr>
          <w:b/>
        </w:rPr>
        <w:t>Government</w:t>
      </w:r>
      <w:r>
        <w:t xml:space="preserve">"), such remitting party may do so and shall be deemed to have paid to the other party to this EULA, for all purposes associated with this EULA, each such payment made or remitted to such Government. Each remitting party shall provide sufficient documentation to the other party to demonstrate proof of payment of such Withholding Tax. If OT is unable due to provisions of law to recover the full Withholding Tax, Licensee will increase the payments it makes to OT to ensure that the amount paid to OpenText corresponds to the fees payable under this EULA, unless OT failed to furnish the Licensee with a certificate of residence within a reasonable time of the written request. </w:t>
      </w:r>
    </w:p>
    <w:p w14:paraId="6FF8F7D6" w14:textId="77777777" w:rsidR="001639DC" w:rsidRDefault="00C83994">
      <w:pPr>
        <w:pStyle w:val="Nadpis1"/>
        <w:tabs>
          <w:tab w:val="center" w:pos="1988"/>
        </w:tabs>
        <w:ind w:left="-15"/>
      </w:pPr>
      <w:r>
        <w:lastRenderedPageBreak/>
        <w:t>7.0</w:t>
      </w:r>
      <w:r>
        <w:rPr>
          <w:rFonts w:ascii="Arial" w:eastAsia="Arial" w:hAnsi="Arial" w:cs="Arial"/>
          <w:u w:val="none"/>
        </w:rPr>
        <w:t xml:space="preserve"> </w:t>
      </w:r>
      <w:r>
        <w:rPr>
          <w:rFonts w:ascii="Arial" w:eastAsia="Arial" w:hAnsi="Arial" w:cs="Arial"/>
          <w:u w:val="none"/>
        </w:rPr>
        <w:tab/>
      </w:r>
      <w:r>
        <w:t>OT Support and Maintenance</w:t>
      </w:r>
      <w:r>
        <w:rPr>
          <w:u w:val="none"/>
        </w:rPr>
        <w:t xml:space="preserve"> </w:t>
      </w:r>
    </w:p>
    <w:p w14:paraId="3D48BC03" w14:textId="77777777" w:rsidR="001639DC" w:rsidRDefault="00C83994">
      <w:pPr>
        <w:ind w:left="-5" w:right="7"/>
      </w:pPr>
      <w:r>
        <w:rPr>
          <w:b/>
          <w:sz w:val="18"/>
          <w:szCs w:val="18"/>
        </w:rPr>
        <w:t xml:space="preserve">7.1 </w:t>
      </w:r>
      <w:r>
        <w:rPr>
          <w:b/>
          <w:sz w:val="18"/>
          <w:szCs w:val="18"/>
        </w:rPr>
        <w:tab/>
      </w:r>
      <w:r>
        <w:rPr>
          <w:b/>
        </w:rPr>
        <w:t xml:space="preserve">OT Support and Maintenance Program. </w:t>
      </w:r>
      <w:r>
        <w:t xml:space="preserve">All Support Software and Support Services provided to Licensee are governed by this EULA and the then-current version of the applicable Support Handbook. </w:t>
      </w:r>
    </w:p>
    <w:p w14:paraId="2A618EE4" w14:textId="77777777" w:rsidR="001639DC" w:rsidRDefault="00C83994">
      <w:pPr>
        <w:spacing w:after="172"/>
        <w:ind w:left="-5" w:right="7"/>
      </w:pPr>
      <w:r>
        <w:rPr>
          <w:b/>
          <w:sz w:val="18"/>
          <w:szCs w:val="18"/>
        </w:rPr>
        <w:t xml:space="preserve">7.2 </w:t>
      </w:r>
      <w:r>
        <w:rPr>
          <w:b/>
        </w:rPr>
        <w:t>Support Services Exclusions</w:t>
      </w:r>
      <w:r>
        <w:t xml:space="preserve">. OT shall have no responsibility to provide Support Services to Licensee with respect to any problem with the Software caused by: (a) any software, device, or other product not supplied by OT; (b) neglect, misuse, alteration, or modification, to the Software by any party other than by OT; (c) use of the Software for a purpose other than the purpose for which it was designed; (d) use of the Software on a computer platform other than the platform authorized by OT (which may be specified in the Documentation accompanying the Software); or (e) failure of Licensee to install any Support Software provided by OT. </w:t>
      </w:r>
    </w:p>
    <w:p w14:paraId="7BB38576" w14:textId="77777777" w:rsidR="001639DC" w:rsidRDefault="00C83994">
      <w:pPr>
        <w:pStyle w:val="Nadpis1"/>
        <w:tabs>
          <w:tab w:val="center" w:pos="1895"/>
        </w:tabs>
        <w:ind w:left="-15"/>
      </w:pPr>
      <w:r>
        <w:t>8.0</w:t>
      </w:r>
      <w:r>
        <w:rPr>
          <w:rFonts w:ascii="Arial" w:eastAsia="Arial" w:hAnsi="Arial" w:cs="Arial"/>
          <w:u w:val="none"/>
        </w:rPr>
        <w:t xml:space="preserve"> </w:t>
      </w:r>
      <w:r>
        <w:rPr>
          <w:rFonts w:ascii="Arial" w:eastAsia="Arial" w:hAnsi="Arial" w:cs="Arial"/>
          <w:u w:val="none"/>
        </w:rPr>
        <w:tab/>
      </w:r>
      <w:r>
        <w:t>Audits and Noncompliance</w:t>
      </w:r>
      <w:r>
        <w:rPr>
          <w:u w:val="none"/>
        </w:rPr>
        <w:t xml:space="preserve"> </w:t>
      </w:r>
    </w:p>
    <w:p w14:paraId="3113E865" w14:textId="77777777" w:rsidR="001639DC" w:rsidRDefault="00C83994">
      <w:pPr>
        <w:ind w:left="-5" w:right="7"/>
      </w:pPr>
      <w:r>
        <w:rPr>
          <w:b/>
          <w:sz w:val="18"/>
          <w:szCs w:val="18"/>
        </w:rPr>
        <w:t xml:space="preserve">8.1 </w:t>
      </w:r>
      <w:r>
        <w:rPr>
          <w:b/>
        </w:rPr>
        <w:t xml:space="preserve">Audit. </w:t>
      </w:r>
      <w:r>
        <w:t xml:space="preserve">During the term of this EULA and for 24 months after, Licensee will maintain electronic and other records sufficient for OT to confirm that Licensee has complied with this EULA. Licensee will promptly and accurately complete and return (within no more than 30 days) any self-audit questionnaires, along with a certification by an authorized representative of Licensee confirming that Licensee’s responses to the questionnaire accurately and fully reflect Licensee's usage of the Software. Furthermore OT may once per year audit Licensee’s records and computer systems (including servers, databases, and all other applicable software and hardware) to ensure Licensee has complied with this EULA. Licensee shall cooperate with OT’s audit team and promptly and accurately respond to, database queries, location information, system reports, and other reports requested by OT and provide a certification by an authorized representative of Licensee confirming that information provided by Licensee accurately reflects Licensee's usage of the Software </w:t>
      </w:r>
    </w:p>
    <w:p w14:paraId="63C72D27" w14:textId="77777777" w:rsidR="001639DC" w:rsidRDefault="00C83994">
      <w:pPr>
        <w:ind w:left="-5" w:right="7"/>
      </w:pPr>
      <w:r>
        <w:rPr>
          <w:b/>
          <w:sz w:val="18"/>
          <w:szCs w:val="18"/>
        </w:rPr>
        <w:t xml:space="preserve">8.2 </w:t>
      </w:r>
      <w:r>
        <w:rPr>
          <w:b/>
        </w:rPr>
        <w:t xml:space="preserve">Conduct. </w:t>
      </w:r>
      <w:r>
        <w:t xml:space="preserve">Audits will be conducted during regular business hours and will not interfere unreasonably with Licensee’s business. OT will provide Licensee prior notice of each audit. Such audit shall be scheduled as soon as reasonably possible but in no event more than 7 days subsequent to the notice. Licensee will allow OT to make copies of relevant Licensee records. OT will comply with all applicable data protection regulations. </w:t>
      </w:r>
    </w:p>
    <w:p w14:paraId="6B1C0F6D" w14:textId="77777777" w:rsidR="001639DC" w:rsidRDefault="00C83994">
      <w:pPr>
        <w:spacing w:after="172"/>
        <w:ind w:left="-5" w:right="7"/>
      </w:pPr>
      <w:r>
        <w:rPr>
          <w:b/>
          <w:sz w:val="18"/>
          <w:szCs w:val="18"/>
        </w:rPr>
        <w:t xml:space="preserve">8.3 </w:t>
      </w:r>
      <w:r>
        <w:rPr>
          <w:b/>
        </w:rPr>
        <w:t xml:space="preserve">Noncompliance. </w:t>
      </w:r>
      <w:r>
        <w:t xml:space="preserve">If Licensee is not in compliance with the Software Licenses, Licensee will be deemed to have acquired additional Software Licenses at OT’s then-current list price to bring Licensee into compliance, and Licensee must immediately pay: (a) the applicable License Fees and Taxes, and (b) Maintenance Fees for: (i) the period Licensee was not in compliance with the Software License; and (ii) the first year Maintenance Fees on any additional Software Licenses. If Licensee has failed to comply with the License Documents, Licensee will reimburse all reasonable costs incurred by OT in performing the audit. Compliance with the License Documents is the sole responsibility of Licensee. </w:t>
      </w:r>
    </w:p>
    <w:p w14:paraId="2E88B5C5" w14:textId="77777777" w:rsidR="001639DC" w:rsidRDefault="00C83994">
      <w:pPr>
        <w:pStyle w:val="Nadpis1"/>
        <w:tabs>
          <w:tab w:val="center" w:pos="1546"/>
        </w:tabs>
        <w:ind w:left="-15"/>
      </w:pPr>
      <w:r>
        <w:t>9.0</w:t>
      </w:r>
      <w:r>
        <w:rPr>
          <w:rFonts w:ascii="Arial" w:eastAsia="Arial" w:hAnsi="Arial" w:cs="Arial"/>
          <w:u w:val="none"/>
        </w:rPr>
        <w:t xml:space="preserve"> </w:t>
      </w:r>
      <w:r>
        <w:rPr>
          <w:rFonts w:ascii="Arial" w:eastAsia="Arial" w:hAnsi="Arial" w:cs="Arial"/>
          <w:u w:val="none"/>
        </w:rPr>
        <w:tab/>
      </w:r>
      <w:r>
        <w:t>Limited Warranties</w:t>
      </w:r>
      <w:r>
        <w:rPr>
          <w:u w:val="none"/>
        </w:rPr>
        <w:t xml:space="preserve"> </w:t>
      </w:r>
    </w:p>
    <w:p w14:paraId="4DB21311" w14:textId="77777777" w:rsidR="001639DC" w:rsidRDefault="00C83994">
      <w:pPr>
        <w:ind w:left="-5" w:right="7"/>
      </w:pPr>
      <w:r>
        <w:rPr>
          <w:b/>
          <w:sz w:val="18"/>
          <w:szCs w:val="18"/>
        </w:rPr>
        <w:t xml:space="preserve">9.1 </w:t>
      </w:r>
      <w:r>
        <w:rPr>
          <w:b/>
        </w:rPr>
        <w:t xml:space="preserve">Limited Software Warranty. </w:t>
      </w:r>
      <w:r>
        <w:t xml:space="preserve">OT warrants to Licensee that the Software at the time of first delivery to Licensee: (a) will be free of all known viruses; and (b) will be free from defects as to quality and title. </w:t>
      </w:r>
    </w:p>
    <w:p w14:paraId="43925E79" w14:textId="77777777" w:rsidR="001639DC" w:rsidRDefault="00C83994">
      <w:pPr>
        <w:tabs>
          <w:tab w:val="center" w:pos="3200"/>
        </w:tabs>
        <w:spacing w:line="259" w:lineRule="auto"/>
        <w:ind w:left="-15"/>
        <w:jc w:val="left"/>
      </w:pPr>
      <w:r>
        <w:rPr>
          <w:b/>
          <w:sz w:val="18"/>
          <w:szCs w:val="18"/>
        </w:rPr>
        <w:t xml:space="preserve">9.2 </w:t>
      </w:r>
      <w:r>
        <w:rPr>
          <w:b/>
          <w:sz w:val="18"/>
          <w:szCs w:val="18"/>
        </w:rPr>
        <w:tab/>
      </w:r>
      <w:r>
        <w:rPr>
          <w:b/>
        </w:rPr>
        <w:t xml:space="preserve">Supplementary performance in the event of defects in quality. </w:t>
      </w:r>
    </w:p>
    <w:p w14:paraId="613F25FE" w14:textId="77777777" w:rsidR="001639DC" w:rsidRDefault="00C83994">
      <w:pPr>
        <w:ind w:left="-5" w:right="7"/>
      </w:pPr>
      <w:r>
        <w:rPr>
          <w:b/>
          <w:sz w:val="18"/>
          <w:szCs w:val="18"/>
        </w:rPr>
        <w:t xml:space="preserve">9.2.1 </w:t>
      </w:r>
      <w:r>
        <w:rPr>
          <w:b/>
        </w:rPr>
        <w:t>Warranty Exclusions.</w:t>
      </w:r>
      <w:r>
        <w:t xml:space="preserve"> The warranty in sections 9.1-9.3 shall not apply to any defect in quality caused by (a) any change to the Software caused by Licensee, except where such changes were made by OT in relation to the provision of Support Services or Licensee proves that defects in quality which have arisen are not attributable to the change/modification and that error analysis and rectification by OT is not effected thereby; (b) Licensee's failure to provide an installation or operating environment for the Software according to the Documentation; (c) use of the Software on a software or hardware platform not approved by OT in writing; (d) software, hardware, firmware, data, or technology not licensed or approved by OT in writing; (e) any telecommunications medium used by Licensee; (f) Licensee's own computer system; or (g) failure of Licensee and/or user to comply with the Documentation. </w:t>
      </w:r>
    </w:p>
    <w:p w14:paraId="4EA1598A" w14:textId="77777777" w:rsidR="001639DC" w:rsidRDefault="00C83994">
      <w:pPr>
        <w:spacing w:after="44"/>
        <w:ind w:left="-5" w:right="7"/>
      </w:pPr>
      <w:r>
        <w:rPr>
          <w:b/>
          <w:sz w:val="18"/>
          <w:szCs w:val="18"/>
        </w:rPr>
        <w:t xml:space="preserve">9.2.2 </w:t>
      </w:r>
      <w:r>
        <w:t xml:space="preserve">If Licensee provides notification of defects in quality for which OT is liable as defects in quality, OT shall provide supplementary performance free of charge within an appropriate period. </w:t>
      </w:r>
    </w:p>
    <w:p w14:paraId="1EF4DBED" w14:textId="77777777" w:rsidR="001639DC" w:rsidRDefault="00C83994">
      <w:pPr>
        <w:ind w:left="-5" w:right="7"/>
      </w:pPr>
      <w:r>
        <w:rPr>
          <w:b/>
          <w:sz w:val="18"/>
          <w:szCs w:val="18"/>
        </w:rPr>
        <w:t xml:space="preserve">9.2.3 </w:t>
      </w:r>
      <w:r>
        <w:t xml:space="preserve">Supplementary performance may be effected, at OT’s option, by rectifying the defect in quality or by delivering new Software or Physical Media. OT may also provide an update, upgrade or more recent version of the Software for supplementary performance purposes, provided that this is reasonable for Licensee. </w:t>
      </w:r>
    </w:p>
    <w:p w14:paraId="32A5CFF1" w14:textId="77777777" w:rsidR="001639DC" w:rsidRDefault="00C83994">
      <w:pPr>
        <w:ind w:left="-5" w:right="7"/>
      </w:pPr>
      <w:r>
        <w:rPr>
          <w:b/>
          <w:sz w:val="18"/>
          <w:szCs w:val="18"/>
        </w:rPr>
        <w:t xml:space="preserve">9.2.4 </w:t>
      </w:r>
      <w:r>
        <w:t xml:space="preserve">The defect in quality may also be remedied by means of written, electronic or text form instructions on how to act, or instructions on how to act provided over the telephone, to Licensee by way of remote data transmission or dispatch of data carriers with corrective software. In these cases, in so far as this is reasonable, Licensee is obliged to implement instructions on how to act, to enable remote data transmission or remote access by OT to the defective Software and/or to input corrective software immediately after it is delivered. A technical software workaround also constitutes rectification of a defect in quality if it does not considerably impair the use of the Software for the contractually envisaged purpose and the workaround is reasonable for Licensee. In the event of a workaround, OT shall </w:t>
      </w:r>
      <w:r>
        <w:lastRenderedPageBreak/>
        <w:t xml:space="preserve">completely rectify the defect within the scope of any updating (update, upgrade or new version) of the Software. </w:t>
      </w:r>
    </w:p>
    <w:p w14:paraId="1E2716E9" w14:textId="77777777" w:rsidR="001639DC" w:rsidRDefault="00C83994">
      <w:pPr>
        <w:tabs>
          <w:tab w:val="center" w:pos="3595"/>
        </w:tabs>
        <w:spacing w:line="259" w:lineRule="auto"/>
        <w:ind w:left="-15"/>
        <w:jc w:val="left"/>
      </w:pPr>
      <w:r>
        <w:rPr>
          <w:b/>
          <w:sz w:val="18"/>
          <w:szCs w:val="18"/>
        </w:rPr>
        <w:t xml:space="preserve">9.3 </w:t>
      </w:r>
      <w:r>
        <w:rPr>
          <w:b/>
          <w:sz w:val="18"/>
          <w:szCs w:val="18"/>
        </w:rPr>
        <w:tab/>
      </w:r>
      <w:r>
        <w:rPr>
          <w:b/>
        </w:rPr>
        <w:t xml:space="preserve">Failure of supplementary performance in the event of defects in quality. </w:t>
      </w:r>
    </w:p>
    <w:p w14:paraId="5CA6B1A0" w14:textId="77777777" w:rsidR="001639DC" w:rsidRDefault="00C83994">
      <w:pPr>
        <w:spacing w:line="259" w:lineRule="auto"/>
        <w:jc w:val="left"/>
      </w:pPr>
      <w:r>
        <w:rPr>
          <w:b/>
        </w:rPr>
        <w:t xml:space="preserve"> </w:t>
      </w:r>
      <w:r>
        <w:rPr>
          <w:b/>
        </w:rPr>
        <w:tab/>
        <w:t xml:space="preserve"> </w:t>
      </w:r>
    </w:p>
    <w:p w14:paraId="01F91DD2" w14:textId="77777777" w:rsidR="001639DC" w:rsidRDefault="00C83994">
      <w:pPr>
        <w:ind w:left="-5" w:right="7"/>
      </w:pPr>
      <w:r>
        <w:rPr>
          <w:b/>
          <w:sz w:val="18"/>
          <w:szCs w:val="18"/>
        </w:rPr>
        <w:t xml:space="preserve">9.3.1 </w:t>
      </w:r>
      <w:r>
        <w:t xml:space="preserve">If a defect in quality cannot be rectified within an appropriate period or if supplementary performance or replacement delivery fails for other reasons, Licensee may at its option (a) demand a reduction of the Fees; or (b) withdraw from and/or terminate the EULA and/or (c) terminate the Support Services. In case of withdrawal or termination Licensee may assert a claim for compensation of damages or futile expenditures within the limitations of section 10 of this EULA. Withdrawal shall be excluded in case of insignificant defects in the Software. </w:t>
      </w:r>
    </w:p>
    <w:p w14:paraId="4CF9BAD5" w14:textId="77777777" w:rsidR="001639DC" w:rsidRDefault="00C83994">
      <w:pPr>
        <w:ind w:left="-5" w:right="7"/>
      </w:pPr>
      <w:r>
        <w:rPr>
          <w:b/>
          <w:sz w:val="18"/>
          <w:szCs w:val="18"/>
        </w:rPr>
        <w:t xml:space="preserve">9.3.2 </w:t>
      </w:r>
      <w:r>
        <w:t xml:space="preserve">Supplementary performance has not failed until OT has been given at least 2 opportunities to effect supplementary performance or replacement delivery. After a failed second attempt of supplementary performance, OT shall only be granted further attempt(s) of supplementary performance if reasonably required due to the complexity of the matter, unless further attempt(s) are unreasonable for the Licensee. The supplementary performance has also failed if supplementary performance is impossible due to objective or subjective reasons or if supplementary performance is refused by OT with grounds of reasonability or if the supplementary performance is unreasonably delayed. </w:t>
      </w:r>
    </w:p>
    <w:p w14:paraId="23816A67" w14:textId="77777777" w:rsidR="001639DC" w:rsidRDefault="00C83994">
      <w:pPr>
        <w:tabs>
          <w:tab w:val="center" w:pos="3080"/>
        </w:tabs>
        <w:spacing w:line="259" w:lineRule="auto"/>
        <w:ind w:left="-15"/>
        <w:jc w:val="left"/>
      </w:pPr>
      <w:r>
        <w:rPr>
          <w:b/>
          <w:sz w:val="18"/>
          <w:szCs w:val="18"/>
        </w:rPr>
        <w:t xml:space="preserve">9.4 </w:t>
      </w:r>
      <w:r>
        <w:rPr>
          <w:b/>
          <w:sz w:val="18"/>
          <w:szCs w:val="18"/>
        </w:rPr>
        <w:tab/>
      </w:r>
      <w:r>
        <w:rPr>
          <w:b/>
        </w:rPr>
        <w:t xml:space="preserve">Supplementary performance in the event of defects of title. </w:t>
      </w:r>
    </w:p>
    <w:p w14:paraId="36DBC6E9" w14:textId="77777777" w:rsidR="001639DC" w:rsidRDefault="00C83994">
      <w:pPr>
        <w:ind w:left="-5" w:right="7"/>
      </w:pPr>
      <w:r>
        <w:rPr>
          <w:b/>
          <w:sz w:val="18"/>
          <w:szCs w:val="18"/>
        </w:rPr>
        <w:t xml:space="preserve">9.4.1 </w:t>
      </w:r>
      <w:r>
        <w:rPr>
          <w:b/>
        </w:rPr>
        <w:t xml:space="preserve">Warranty Exclusions. </w:t>
      </w:r>
      <w:r>
        <w:t xml:space="preserve">The warranty in this section 9.4 shall not apply for Claims to the extent (a) such Claim arises as a result of Licensee's use of the Software not in accordance with the provisions of this EULA and the applicable Documentation; (b) the alleged or actual infringement was caused by the use of a superseded version of the Software if the infringement would have been avoided by the use of a then-current release of the Software; (c) the alleged or actual infringement was caused by the modification of the Software by any party other than OT; (d) the alleged or actual infringement was caused by the combination or use of the Software with software, hardware, firmware, data, or technology not licensed to Licensee by OT or approved by OT in writing; and/or (e) such Claim arises as a result of unlicensed activities of the Licensee. As to any such cause, OT assumes no liability for infringement and Licensee will hold OT harmless against any infringement claims and fully indemnify OT against any claims, damages, costs, losses or expenses related or arising therefrom. </w:t>
      </w:r>
    </w:p>
    <w:p w14:paraId="286ABC27" w14:textId="77777777" w:rsidR="001639DC" w:rsidRDefault="00C83994">
      <w:pPr>
        <w:ind w:left="-5" w:right="7"/>
      </w:pPr>
      <w:r>
        <w:rPr>
          <w:b/>
          <w:sz w:val="18"/>
          <w:szCs w:val="18"/>
        </w:rPr>
        <w:t xml:space="preserve">9.4.2 </w:t>
      </w:r>
      <w:r>
        <w:t xml:space="preserve">OT shall defend Licensee from any Claims to the extent such Claim arises solely as a result of Licensee’s use of the Software in accordance with the License Documents. If the Software becomes subject to a Claim, OT will, in its absolute discretion, either (a) obtain a license for Licensee to continue using the Software; (b) replace the infringing portion of the Software as far as this is reasonable for Licensee in consideration of the purpose of this EULA; or (c) modify the infringing portion of the Software without reasonable degradation in functionality. </w:t>
      </w:r>
    </w:p>
    <w:p w14:paraId="21C0E00A" w14:textId="77777777" w:rsidR="001639DC" w:rsidRDefault="00C83994">
      <w:pPr>
        <w:ind w:left="-5" w:right="7"/>
      </w:pPr>
      <w:r>
        <w:t xml:space="preserve">OT’s obligations in this section are conditioned upon: (a) Licensee notifying OT in writing immediately but latest within 10 days of Licensee becoming aware of a Claim; (b) Licensee not making an admission against OT’s interests unless made pursuant to a judicial request or order; (c) Licensee not agreeing to any settlement of any Claim without the prior written consent of OT; and (d) Licensee, at the request of OT, providing all reasonable assistance and information to OT in connection with the defense, litigation, and settlement by OT of the Claim; and (e) OT having sole control over the selection and retainer of legal counsel, and over the defense, litigation or the settlement of each Claim. OT will indemnify Licensee from any judgment finally awarded or any final settlement in connection with any Claims, provided all the conditions of this section are satisfied. </w:t>
      </w:r>
    </w:p>
    <w:p w14:paraId="7F5F9820" w14:textId="77777777" w:rsidR="001639DC" w:rsidRDefault="00C83994">
      <w:pPr>
        <w:ind w:left="-5" w:right="7"/>
      </w:pPr>
      <w:r>
        <w:rPr>
          <w:b/>
          <w:sz w:val="18"/>
          <w:szCs w:val="18"/>
        </w:rPr>
        <w:t xml:space="preserve">9.5 </w:t>
      </w:r>
      <w:r>
        <w:rPr>
          <w:b/>
        </w:rPr>
        <w:t xml:space="preserve">Failure of supplementary performance in the event of defects of title. </w:t>
      </w:r>
      <w:r>
        <w:t xml:space="preserve">In case supplementary performance according to section 9.3.2 has failed or is not possible, Licensee may at its option (a) demand a reduction of the Fees; or (b) withdraw from and/or terminate the EULA and/or (c) terminate the Support Services. In case of withdrawal or termination Licensee may assert a claim for compensation of damages or futile expenditures within the limitations of section 10 of this EULA. In case of withdrawal from the EULA, OT will take back the infringing Software or the infringing portion of the Software and will refund the unamortized portion of the License Fees received by OT from Licensee under this EULA attributable to the infringing portion of the Software, based on a 3 year straight line amortization commencing on the date of first delivery of the Software to the Licensee. </w:t>
      </w:r>
    </w:p>
    <w:p w14:paraId="115C022F" w14:textId="77777777" w:rsidR="001639DC" w:rsidRDefault="00C83994">
      <w:pPr>
        <w:tabs>
          <w:tab w:val="center" w:pos="3180"/>
        </w:tabs>
        <w:spacing w:line="259" w:lineRule="auto"/>
        <w:ind w:left="-15"/>
        <w:jc w:val="left"/>
      </w:pPr>
      <w:r>
        <w:rPr>
          <w:b/>
          <w:sz w:val="18"/>
          <w:szCs w:val="18"/>
        </w:rPr>
        <w:t xml:space="preserve">9.6 </w:t>
      </w:r>
      <w:r>
        <w:rPr>
          <w:b/>
          <w:sz w:val="18"/>
          <w:szCs w:val="18"/>
        </w:rPr>
        <w:tab/>
      </w:r>
      <w:r>
        <w:rPr>
          <w:b/>
        </w:rPr>
        <w:t xml:space="preserve">Common provisions for defects in quality and defects of title. </w:t>
      </w:r>
    </w:p>
    <w:p w14:paraId="11CC709C" w14:textId="77777777" w:rsidR="001639DC" w:rsidRDefault="00C83994">
      <w:pPr>
        <w:spacing w:after="7" w:line="248" w:lineRule="auto"/>
        <w:ind w:left="-5"/>
        <w:jc w:val="left"/>
      </w:pPr>
      <w:r>
        <w:rPr>
          <w:b/>
          <w:sz w:val="18"/>
          <w:szCs w:val="18"/>
        </w:rPr>
        <w:t xml:space="preserve">9.6.1 </w:t>
      </w:r>
      <w:r>
        <w:rPr>
          <w:b/>
          <w:sz w:val="18"/>
          <w:szCs w:val="18"/>
        </w:rPr>
        <w:tab/>
      </w:r>
      <w:r>
        <w:t xml:space="preserve">Defects in quality and/or defects of title which occur shall be documented by Licensee in a manner comprehensible to OT (e.g. in the case of defects in quality by means of screenshots, error messages and defect records) and shall be reported in writing immediately after determination of any such defect. </w:t>
      </w:r>
    </w:p>
    <w:p w14:paraId="6B08D89A" w14:textId="77777777" w:rsidR="001639DC" w:rsidRDefault="00C83994">
      <w:pPr>
        <w:ind w:left="-5" w:right="7"/>
      </w:pPr>
      <w:r>
        <w:rPr>
          <w:b/>
          <w:sz w:val="18"/>
          <w:szCs w:val="18"/>
        </w:rPr>
        <w:t xml:space="preserve">9.6.2 </w:t>
      </w:r>
      <w:r>
        <w:t xml:space="preserve">The place of performance shall be the place where the Software has been installed as agreed. OT reserves the right to invoice Licensee for (a) additional costs which arise as a result of a reallocation of the Software by Licensee to a location other than the contractually agreed installation location (if this occurs); (b) additional costs which arise as a result of Licensee culpably failing to comply with its </w:t>
      </w:r>
      <w:r>
        <w:lastRenderedPageBreak/>
        <w:t xml:space="preserve">obligations to cooperate in accordance with this EULA; (c) additional costs which are based on defects in quality in the Software which are asserted by Licensee but do not exist; (d) defects in quality in the Software which arise exclusively as a result of culpable faulty operation; and/or (e) additional costs based on non-observance of the Software Documentation in accordance with the respectively valid price list for the service. </w:t>
      </w:r>
    </w:p>
    <w:p w14:paraId="4D6A742C" w14:textId="77777777" w:rsidR="001639DC" w:rsidRDefault="00C83994">
      <w:pPr>
        <w:ind w:left="-5" w:right="7"/>
      </w:pPr>
      <w:r>
        <w:rPr>
          <w:b/>
          <w:sz w:val="18"/>
          <w:szCs w:val="18"/>
        </w:rPr>
        <w:t xml:space="preserve">9.6.3 </w:t>
      </w:r>
      <w:r>
        <w:t xml:space="preserve">Licensee is not authorized to rectify defects in the Software itself or have them rectified by any third party (replacement performance) unless (a) OT has been given adequate opportunity to effect supplementary performance and the defect has not been rectified; (b) a right to effect self-remedy exists in accordance with other provisions of this EULA and/or (c) OT ultimately refuses to rectify the defects. </w:t>
      </w:r>
    </w:p>
    <w:p w14:paraId="07F788F1" w14:textId="77777777" w:rsidR="001639DC" w:rsidRDefault="00C83994">
      <w:pPr>
        <w:ind w:left="-5" w:right="7"/>
      </w:pPr>
      <w:r>
        <w:rPr>
          <w:b/>
          <w:sz w:val="18"/>
          <w:szCs w:val="18"/>
        </w:rPr>
        <w:t xml:space="preserve">9.6.4 </w:t>
      </w:r>
      <w:r>
        <w:t xml:space="preserve">Statute of limitation. In the event of wilful act or gross negligence of OT, in case of malicious concealment of a defect, physical injury, guarantees and claims in accordance with the Product Liability Act, the statutory limitation periods apply. Other claims based on defects in quality or defects of title in the Software become time-barred after 12 months. Statute of limitation shall start with delivery of the Software. </w:t>
      </w:r>
    </w:p>
    <w:p w14:paraId="3E4D2792" w14:textId="77777777" w:rsidR="001639DC" w:rsidRDefault="00C83994">
      <w:pPr>
        <w:ind w:left="-5" w:right="7"/>
      </w:pPr>
      <w:r>
        <w:rPr>
          <w:b/>
          <w:sz w:val="18"/>
          <w:szCs w:val="18"/>
        </w:rPr>
        <w:t xml:space="preserve">9.6.5 </w:t>
      </w:r>
      <w:r>
        <w:t xml:space="preserve">Compensation or reimbursement of futile expenditure. In the event of a claim OT shall provide compensation or reimburse futile expenditure on the basis of a defect within the limitations outlined in section 10 of this EULA. </w:t>
      </w:r>
    </w:p>
    <w:p w14:paraId="30F3D159" w14:textId="77777777" w:rsidR="001639DC" w:rsidRDefault="00C83994">
      <w:pPr>
        <w:spacing w:after="146" w:line="259" w:lineRule="auto"/>
        <w:jc w:val="left"/>
      </w:pPr>
      <w:r>
        <w:rPr>
          <w:sz w:val="18"/>
          <w:szCs w:val="18"/>
        </w:rPr>
        <w:t xml:space="preserve"> </w:t>
      </w:r>
    </w:p>
    <w:p w14:paraId="14B31DD9" w14:textId="77777777" w:rsidR="001639DC" w:rsidRDefault="00C83994">
      <w:pPr>
        <w:pStyle w:val="Nadpis1"/>
        <w:tabs>
          <w:tab w:val="center" w:pos="1641"/>
        </w:tabs>
        <w:ind w:left="-15"/>
      </w:pPr>
      <w:r>
        <w:t>10.0</w:t>
      </w:r>
      <w:r>
        <w:rPr>
          <w:rFonts w:ascii="Arial" w:eastAsia="Arial" w:hAnsi="Arial" w:cs="Arial"/>
          <w:u w:val="none"/>
        </w:rPr>
        <w:t xml:space="preserve"> </w:t>
      </w:r>
      <w:r>
        <w:rPr>
          <w:rFonts w:ascii="Arial" w:eastAsia="Arial" w:hAnsi="Arial" w:cs="Arial"/>
          <w:u w:val="none"/>
        </w:rPr>
        <w:tab/>
      </w:r>
      <w:r>
        <w:t>Limitation of Liability</w:t>
      </w:r>
      <w:r>
        <w:rPr>
          <w:u w:val="none"/>
        </w:rPr>
        <w:t xml:space="preserve"> </w:t>
      </w:r>
    </w:p>
    <w:p w14:paraId="368CD17E" w14:textId="77777777" w:rsidR="001639DC" w:rsidRDefault="00C83994">
      <w:pPr>
        <w:ind w:left="-5" w:right="7"/>
      </w:pPr>
      <w:r>
        <w:t xml:space="preserve">OT’s total liability for any and all claims shall be subject to the limitation set out herein: </w:t>
      </w:r>
    </w:p>
    <w:p w14:paraId="534DA970" w14:textId="77777777" w:rsidR="001639DC" w:rsidRDefault="00C83994">
      <w:pPr>
        <w:spacing w:after="4" w:line="242" w:lineRule="auto"/>
        <w:ind w:left="-5"/>
      </w:pPr>
      <w:r>
        <w:rPr>
          <w:b/>
          <w:sz w:val="18"/>
          <w:szCs w:val="18"/>
        </w:rPr>
        <w:t xml:space="preserve">10.1 Unlimited liability. </w:t>
      </w:r>
      <w:r>
        <w:rPr>
          <w:sz w:val="18"/>
          <w:szCs w:val="18"/>
        </w:rPr>
        <w:t>OT shall be liable without limitation (a) in the event of intentional acts; or (b) in the event of damage or loss arising from death or personal injury irrespective from the level of culpability; or (c) in case OT has issued a guarantee or (d) in case of fraudulent concealment of known defects.</w:t>
      </w:r>
      <w:r>
        <w:rPr>
          <w:b/>
          <w:sz w:val="18"/>
          <w:szCs w:val="18"/>
        </w:rPr>
        <w:t xml:space="preserve"> </w:t>
      </w:r>
    </w:p>
    <w:p w14:paraId="6569FF48" w14:textId="77777777" w:rsidR="001639DC" w:rsidRDefault="00C83994">
      <w:pPr>
        <w:tabs>
          <w:tab w:val="center" w:pos="2294"/>
        </w:tabs>
        <w:spacing w:line="259" w:lineRule="auto"/>
        <w:ind w:left="-15"/>
        <w:jc w:val="left"/>
      </w:pPr>
      <w:r>
        <w:rPr>
          <w:b/>
          <w:sz w:val="18"/>
          <w:szCs w:val="18"/>
        </w:rPr>
        <w:t xml:space="preserve">10.2 </w:t>
      </w:r>
      <w:r>
        <w:rPr>
          <w:b/>
          <w:sz w:val="18"/>
          <w:szCs w:val="18"/>
        </w:rPr>
        <w:tab/>
      </w:r>
      <w:r>
        <w:rPr>
          <w:b/>
        </w:rPr>
        <w:t xml:space="preserve">Cardinal obligations, gross negligence. </w:t>
      </w:r>
    </w:p>
    <w:p w14:paraId="2E7365F1" w14:textId="77777777" w:rsidR="001639DC" w:rsidRDefault="00C83994">
      <w:pPr>
        <w:spacing w:line="259" w:lineRule="auto"/>
        <w:jc w:val="left"/>
      </w:pPr>
      <w:r>
        <w:t xml:space="preserve"> </w:t>
      </w:r>
    </w:p>
    <w:p w14:paraId="1C1AA0E6" w14:textId="77777777" w:rsidR="001639DC" w:rsidRDefault="00C83994">
      <w:pPr>
        <w:spacing w:line="259" w:lineRule="auto"/>
        <w:jc w:val="left"/>
      </w:pPr>
      <w:r>
        <w:t xml:space="preserve"> </w:t>
      </w:r>
      <w:r>
        <w:tab/>
        <w:t xml:space="preserve"> </w:t>
      </w:r>
    </w:p>
    <w:p w14:paraId="449B62EF" w14:textId="77777777" w:rsidR="001639DC" w:rsidRDefault="00C83994">
      <w:pPr>
        <w:spacing w:after="39"/>
        <w:ind w:left="-5" w:right="7"/>
      </w:pPr>
      <w:r>
        <w:rPr>
          <w:b/>
          <w:sz w:val="18"/>
          <w:szCs w:val="18"/>
        </w:rPr>
        <w:t xml:space="preserve">10.2.1 </w:t>
      </w:r>
      <w:r>
        <w:t xml:space="preserve">OT shall be liable in case of a material breach of contractual obligations which jeopardize attainment of the contractual purpose (cardinal obligations) to the extent that OT acted gross negligently. </w:t>
      </w:r>
    </w:p>
    <w:p w14:paraId="182F3A53" w14:textId="77777777" w:rsidR="001639DC" w:rsidRDefault="00C83994">
      <w:pPr>
        <w:ind w:left="-5" w:right="7"/>
      </w:pPr>
      <w:r>
        <w:rPr>
          <w:b/>
          <w:sz w:val="18"/>
          <w:szCs w:val="18"/>
        </w:rPr>
        <w:t xml:space="preserve">10.2.2 </w:t>
      </w:r>
      <w:r>
        <w:rPr>
          <w:b/>
          <w:sz w:val="18"/>
          <w:szCs w:val="18"/>
        </w:rPr>
        <w:tab/>
      </w:r>
      <w:r>
        <w:t xml:space="preserve">The parties agree that OT’s liability for cardinal obligations under section 10.2 shall be limited in the aggregate to 200% of the Fees paid and payable by Licensee to OT during the 12 months immediately preceding the event causing the damage. </w:t>
      </w:r>
    </w:p>
    <w:p w14:paraId="66DD5146" w14:textId="77777777" w:rsidR="001639DC" w:rsidRDefault="00C83994">
      <w:pPr>
        <w:tabs>
          <w:tab w:val="center" w:pos="2332"/>
        </w:tabs>
        <w:spacing w:line="259" w:lineRule="auto"/>
        <w:ind w:left="-15"/>
        <w:jc w:val="left"/>
      </w:pPr>
      <w:r>
        <w:rPr>
          <w:b/>
          <w:sz w:val="18"/>
          <w:szCs w:val="18"/>
        </w:rPr>
        <w:t xml:space="preserve">10.3 </w:t>
      </w:r>
      <w:r>
        <w:rPr>
          <w:b/>
          <w:sz w:val="18"/>
          <w:szCs w:val="18"/>
        </w:rPr>
        <w:tab/>
      </w:r>
      <w:r>
        <w:rPr>
          <w:b/>
        </w:rPr>
        <w:t xml:space="preserve">Cardinal obligations, simple negligence. </w:t>
      </w:r>
    </w:p>
    <w:p w14:paraId="5383E370" w14:textId="77777777" w:rsidR="001639DC" w:rsidRDefault="00C83994">
      <w:pPr>
        <w:ind w:left="-5" w:right="7"/>
      </w:pPr>
      <w:r>
        <w:rPr>
          <w:b/>
          <w:sz w:val="18"/>
          <w:szCs w:val="18"/>
        </w:rPr>
        <w:t xml:space="preserve">10.3.1 </w:t>
      </w:r>
      <w:r>
        <w:t xml:space="preserve">OT shall be liable for a breach of cardinal obligations in case of only simple negligence up to the limited extent that is typically contractually foreseeable. </w:t>
      </w:r>
    </w:p>
    <w:p w14:paraId="05B926F1" w14:textId="77777777" w:rsidR="001639DC" w:rsidRDefault="00C83994">
      <w:pPr>
        <w:ind w:left="-5" w:right="7"/>
      </w:pPr>
      <w:r>
        <w:rPr>
          <w:b/>
          <w:sz w:val="18"/>
          <w:szCs w:val="18"/>
        </w:rPr>
        <w:t xml:space="preserve">10.3.2 </w:t>
      </w:r>
      <w:r>
        <w:t xml:space="preserve">The parties agree that OT’s liability for typically contractually foreseeable damages shall not exceed in the aggregate 100% of the Fees paid and payable by Licensee to OT during the 12 months immediately preceding the event causing the damage. </w:t>
      </w:r>
    </w:p>
    <w:p w14:paraId="2B17AA91" w14:textId="77777777" w:rsidR="001639DC" w:rsidRDefault="00C83994">
      <w:pPr>
        <w:tabs>
          <w:tab w:val="center" w:pos="4745"/>
        </w:tabs>
        <w:ind w:left="-15"/>
        <w:jc w:val="left"/>
      </w:pPr>
      <w:r>
        <w:rPr>
          <w:b/>
          <w:sz w:val="18"/>
          <w:szCs w:val="18"/>
        </w:rPr>
        <w:t xml:space="preserve">10.4 </w:t>
      </w:r>
      <w:r>
        <w:rPr>
          <w:b/>
          <w:sz w:val="18"/>
          <w:szCs w:val="18"/>
        </w:rPr>
        <w:tab/>
      </w:r>
      <w:r>
        <w:rPr>
          <w:b/>
        </w:rPr>
        <w:t xml:space="preserve">Other cases. </w:t>
      </w:r>
      <w:r>
        <w:t>Except for the liability specified in sections 10.1, 10.2 or 10.3, OT’s liability shall be excluded.</w:t>
      </w:r>
      <w:r>
        <w:rPr>
          <w:b/>
        </w:rPr>
        <w:t xml:space="preserve"> </w:t>
      </w:r>
    </w:p>
    <w:p w14:paraId="45F74D4C" w14:textId="77777777" w:rsidR="001639DC" w:rsidRDefault="00C83994">
      <w:pPr>
        <w:ind w:left="-5" w:right="7"/>
      </w:pPr>
      <w:r>
        <w:rPr>
          <w:b/>
          <w:sz w:val="18"/>
          <w:szCs w:val="18"/>
        </w:rPr>
        <w:t xml:space="preserve">10.5 </w:t>
      </w:r>
      <w:r>
        <w:rPr>
          <w:b/>
        </w:rPr>
        <w:t xml:space="preserve">Indirect and consequential damages. </w:t>
      </w:r>
      <w:r>
        <w:t>OT shall not be liable for consequential and indirect damages, except where required under sections 10.1, 10.2 or 10.3.</w:t>
      </w:r>
      <w:r>
        <w:rPr>
          <w:b/>
        </w:rPr>
        <w:t xml:space="preserve"> </w:t>
      </w:r>
    </w:p>
    <w:p w14:paraId="3B5D4788" w14:textId="77777777" w:rsidR="001639DC" w:rsidRDefault="00C83994">
      <w:pPr>
        <w:ind w:left="-5" w:right="7"/>
      </w:pPr>
      <w:r>
        <w:rPr>
          <w:b/>
          <w:sz w:val="18"/>
          <w:szCs w:val="18"/>
        </w:rPr>
        <w:t xml:space="preserve">10.6 </w:t>
      </w:r>
      <w:r>
        <w:rPr>
          <w:b/>
        </w:rPr>
        <w:t xml:space="preserve">Statute of limitation. </w:t>
      </w:r>
      <w:r>
        <w:t>Section 9.6.4 applies accordingly to the limitation period with the proviso that the statutory limitation period applies to claims in accordance with section 10.1.</w:t>
      </w:r>
      <w:r>
        <w:rPr>
          <w:b/>
        </w:rPr>
        <w:t xml:space="preserve"> </w:t>
      </w:r>
    </w:p>
    <w:p w14:paraId="048E0DF8" w14:textId="77777777" w:rsidR="001639DC" w:rsidRDefault="00C83994">
      <w:pPr>
        <w:ind w:left="-5" w:right="7"/>
      </w:pPr>
      <w:r>
        <w:rPr>
          <w:b/>
          <w:sz w:val="18"/>
          <w:szCs w:val="18"/>
        </w:rPr>
        <w:t xml:space="preserve">10.7 </w:t>
      </w:r>
      <w:r>
        <w:rPr>
          <w:b/>
        </w:rPr>
        <w:t xml:space="preserve">Contributory negligence and data backup. </w:t>
      </w:r>
      <w:r>
        <w:t>If damage or loss is attributable both to fault by OT and to fault by Licensee, Licensee must allow its contributory negligence to be taken into account. In particular, Licensee is responsible for regular backup of its data and to protect its operating environment for the Software (software or hardware platform, software, hardware, firmware, data, or technology) against any sort of malware (virus, worms, trap door, back door, etc.) according to the current state of the art. In the event of a loss of data based on the fault of OT, OT shall be liable only for the costs of copying the data in the backup copies to be created by Licensee and for reconstructing the data which would have been lost even if backup copies had been created at adequate regular intervals.</w:t>
      </w:r>
      <w:r>
        <w:rPr>
          <w:b/>
        </w:rPr>
        <w:t xml:space="preserve"> </w:t>
      </w:r>
    </w:p>
    <w:p w14:paraId="58BA833D" w14:textId="77777777" w:rsidR="001639DC" w:rsidRDefault="00C83994">
      <w:pPr>
        <w:ind w:left="-5" w:right="7"/>
      </w:pPr>
      <w:r>
        <w:rPr>
          <w:b/>
          <w:sz w:val="18"/>
          <w:szCs w:val="18"/>
        </w:rPr>
        <w:t xml:space="preserve">10.8 </w:t>
      </w:r>
      <w:r>
        <w:t>If and to the extent that the time limited term license is considered to be leased and subject to the legal regulations of rental law, any liability of OT for damages or defaults in performance existing at the conclusion of this EULA or an order is excluded to the extent that OT acts or refrains from acting without fault (</w:t>
      </w:r>
      <w:r>
        <w:rPr>
          <w:i/>
        </w:rPr>
        <w:t>ohne Verschulden</w:t>
      </w:r>
      <w:r>
        <w:t>).</w:t>
      </w:r>
      <w:r>
        <w:rPr>
          <w:b/>
        </w:rPr>
        <w:t xml:space="preserve"> </w:t>
      </w:r>
    </w:p>
    <w:p w14:paraId="06499215" w14:textId="77777777" w:rsidR="001639DC" w:rsidRDefault="00C83994">
      <w:pPr>
        <w:tabs>
          <w:tab w:val="center" w:pos="3613"/>
        </w:tabs>
        <w:ind w:left="-15"/>
        <w:jc w:val="left"/>
      </w:pPr>
      <w:r>
        <w:rPr>
          <w:b/>
          <w:sz w:val="18"/>
          <w:szCs w:val="18"/>
        </w:rPr>
        <w:t xml:space="preserve">10.9 </w:t>
      </w:r>
      <w:r>
        <w:rPr>
          <w:b/>
          <w:sz w:val="18"/>
          <w:szCs w:val="18"/>
        </w:rPr>
        <w:tab/>
      </w:r>
      <w:r>
        <w:rPr>
          <w:b/>
        </w:rPr>
        <w:t xml:space="preserve">Product Liability Act. </w:t>
      </w:r>
      <w:r>
        <w:t>Liability under the Product Liability Act is not affected.</w:t>
      </w:r>
      <w:r>
        <w:rPr>
          <w:b/>
        </w:rPr>
        <w:t xml:space="preserve"> </w:t>
      </w:r>
    </w:p>
    <w:p w14:paraId="4F75D7B7" w14:textId="77777777" w:rsidR="001639DC" w:rsidRDefault="00C83994">
      <w:pPr>
        <w:spacing w:after="171"/>
        <w:ind w:left="-5" w:right="7"/>
      </w:pPr>
      <w:r>
        <w:rPr>
          <w:b/>
          <w:sz w:val="18"/>
          <w:szCs w:val="18"/>
        </w:rPr>
        <w:t xml:space="preserve">10.10 </w:t>
      </w:r>
      <w:r>
        <w:rPr>
          <w:b/>
        </w:rPr>
        <w:t>Liability for third parties acting</w:t>
      </w:r>
      <w:r>
        <w:t>. If OT’s liability is excluded or limited, this also applies to the personal liability of OT’s directors, employees, representatives and vicarious agents.</w:t>
      </w:r>
      <w:r>
        <w:rPr>
          <w:b/>
        </w:rPr>
        <w:t xml:space="preserve"> </w:t>
      </w:r>
    </w:p>
    <w:p w14:paraId="76E16823" w14:textId="77777777" w:rsidR="001639DC" w:rsidRDefault="00C83994">
      <w:pPr>
        <w:pStyle w:val="Nadpis1"/>
        <w:tabs>
          <w:tab w:val="center" w:pos="1253"/>
        </w:tabs>
        <w:ind w:left="-15"/>
      </w:pPr>
      <w:r>
        <w:t>11.0</w:t>
      </w:r>
      <w:r>
        <w:rPr>
          <w:rFonts w:ascii="Arial" w:eastAsia="Arial" w:hAnsi="Arial" w:cs="Arial"/>
          <w:u w:val="none"/>
        </w:rPr>
        <w:t xml:space="preserve"> </w:t>
      </w:r>
      <w:r>
        <w:rPr>
          <w:rFonts w:ascii="Arial" w:eastAsia="Arial" w:hAnsi="Arial" w:cs="Arial"/>
          <w:u w:val="none"/>
        </w:rPr>
        <w:tab/>
      </w:r>
      <w:r>
        <w:t>Termination</w:t>
      </w:r>
      <w:r>
        <w:rPr>
          <w:u w:val="none"/>
        </w:rPr>
        <w:t xml:space="preserve"> </w:t>
      </w:r>
    </w:p>
    <w:p w14:paraId="4064ECB1" w14:textId="77777777" w:rsidR="001639DC" w:rsidRDefault="00C83994">
      <w:pPr>
        <w:ind w:left="-5" w:right="7"/>
      </w:pPr>
      <w:r>
        <w:rPr>
          <w:b/>
          <w:sz w:val="18"/>
          <w:szCs w:val="18"/>
        </w:rPr>
        <w:t xml:space="preserve">11.1 </w:t>
      </w:r>
      <w:r>
        <w:rPr>
          <w:b/>
        </w:rPr>
        <w:t xml:space="preserve">Termination for Default. </w:t>
      </w:r>
      <w:r>
        <w:t xml:space="preserve">Either party may terminate this EULA if the other party: (a) becomes insolvent; or (b) has a receiver or receiver manager appointed with respect to it or any of its assets. Without prejudice to each right or remedy of a non-breaching party, either party may terminate this EULA </w:t>
      </w:r>
      <w:r>
        <w:lastRenderedPageBreak/>
        <w:t>for material breach by written notice, effective 10 days after notice unless the other party first cures the breach.</w:t>
      </w:r>
      <w:r>
        <w:rPr>
          <w:b/>
        </w:rPr>
        <w:t xml:space="preserve"> </w:t>
      </w:r>
    </w:p>
    <w:p w14:paraId="7AD92461" w14:textId="77777777" w:rsidR="001639DC" w:rsidRDefault="00C83994">
      <w:pPr>
        <w:ind w:left="-5" w:right="7"/>
      </w:pPr>
      <w:r>
        <w:rPr>
          <w:b/>
          <w:sz w:val="18"/>
          <w:szCs w:val="18"/>
        </w:rPr>
        <w:t xml:space="preserve">11.2 </w:t>
      </w:r>
      <w:r>
        <w:rPr>
          <w:b/>
        </w:rPr>
        <w:t xml:space="preserve">Effect of Termination or Expiration. </w:t>
      </w:r>
      <w:r>
        <w:t>Upon any termination of this EULA, or license granted pursuant to this EULA, or upon expiration of a term license: (a) all Software Licenses will immediately terminate; (b) Licensee will immediately cease all use of the Software; and (c) Licensee must either deliver to OT or irrevocably destroy all copies of Software, Documentation, and OT confidential information in Licensee’s possession or control. Within 15 days after termination, an authorized representative of Licensee must certify in writing that all copies have been delivered to OT or destroyed. Any terms in this EULA which by their nature extend beyond termination or expiration of this EULA will remain in effect until fulfilled.</w:t>
      </w:r>
      <w:r>
        <w:rPr>
          <w:b/>
        </w:rPr>
        <w:t xml:space="preserve"> </w:t>
      </w:r>
    </w:p>
    <w:p w14:paraId="77559485" w14:textId="77777777" w:rsidR="001639DC" w:rsidRDefault="00C83994">
      <w:pPr>
        <w:spacing w:after="172"/>
        <w:ind w:left="-5" w:right="7"/>
      </w:pPr>
      <w:r>
        <w:rPr>
          <w:b/>
          <w:sz w:val="18"/>
          <w:szCs w:val="18"/>
        </w:rPr>
        <w:t xml:space="preserve">11.3 </w:t>
      </w:r>
      <w:r>
        <w:rPr>
          <w:b/>
        </w:rPr>
        <w:t xml:space="preserve">Termination or suspension of Support Services. </w:t>
      </w:r>
      <w:r>
        <w:t>Without limiting OT’s rights under clause 11.1, OT may, in its sole discretion, terminate or suspend Support Services if Licensee fails to remedy a material breach within 30 days of notice by OT, including failure to pay an invoice.</w:t>
      </w:r>
      <w:r>
        <w:rPr>
          <w:b/>
        </w:rPr>
        <w:t xml:space="preserve"> </w:t>
      </w:r>
    </w:p>
    <w:p w14:paraId="292FB91D" w14:textId="77777777" w:rsidR="001639DC" w:rsidRDefault="00C83994">
      <w:pPr>
        <w:pStyle w:val="Nadpis1"/>
        <w:tabs>
          <w:tab w:val="center" w:pos="1828"/>
        </w:tabs>
        <w:ind w:left="-15"/>
      </w:pPr>
      <w:r>
        <w:t>12.0</w:t>
      </w:r>
      <w:r>
        <w:rPr>
          <w:rFonts w:ascii="Arial" w:eastAsia="Arial" w:hAnsi="Arial" w:cs="Arial"/>
          <w:u w:val="none"/>
        </w:rPr>
        <w:t xml:space="preserve"> </w:t>
      </w:r>
      <w:r>
        <w:rPr>
          <w:rFonts w:ascii="Arial" w:eastAsia="Arial" w:hAnsi="Arial" w:cs="Arial"/>
          <w:u w:val="none"/>
        </w:rPr>
        <w:tab/>
      </w:r>
      <w:r>
        <w:t>Miscellaneous Provisions</w:t>
      </w:r>
      <w:r>
        <w:rPr>
          <w:u w:val="none"/>
        </w:rPr>
        <w:t xml:space="preserve"> </w:t>
      </w:r>
    </w:p>
    <w:p w14:paraId="26DD5EAF" w14:textId="77777777" w:rsidR="001639DC" w:rsidRDefault="00C83994">
      <w:pPr>
        <w:ind w:left="-5" w:right="7"/>
      </w:pPr>
      <w:r>
        <w:rPr>
          <w:b/>
          <w:sz w:val="18"/>
          <w:szCs w:val="18"/>
        </w:rPr>
        <w:t xml:space="preserve">12.1 </w:t>
      </w:r>
      <w:r>
        <w:rPr>
          <w:b/>
        </w:rPr>
        <w:t xml:space="preserve">Confidentiality. </w:t>
      </w:r>
      <w:r>
        <w:t>Each party (a “</w:t>
      </w:r>
      <w:r>
        <w:rPr>
          <w:b/>
        </w:rPr>
        <w:t>Disclosing Party</w:t>
      </w:r>
      <w:r>
        <w:t>”) may disclose to the other party (a “</w:t>
      </w:r>
      <w:r>
        <w:rPr>
          <w:b/>
        </w:rPr>
        <w:t>Receiving Party</w:t>
      </w:r>
      <w:r>
        <w:t>”) any Confidential Information. Each party agrees, for the period of this EULA and for 3 years after such period, to hold the other party’s Confidential Information in strict confidence, not to disclose such Confidential Information to third parties (other than to Affiliates and to professional advisers who are bound by appropriate obligations of confidentiality) unless authorized to do so by the Disclosing Party, and not to use such Confidential Information for any purpose except as expressly permitted hereunder. Each party agrees to take reasonable steps to protect the other party’s Confidential Information to ensure that such Confidential Information is not disclosed, distributed or used in violation of the provisions of this section. The foregoing prohibition on disclosure of Confidential Information shall not apply to any information that: (a) is or becomes a part of the public domain through no act or omission of the Receiving Party; (b) was in the Receiving Party’s lawful possession without confidentiality obligation prior to the disclosure and had not been obtained by the Receiving Party either directly or indirectly from the Disclosing Party; or (c) is lawfully disclosed to the Receiving Party by a third party without restriction on disclosure; or (d) is independently developed by the Receiving Party by employees or agents without access to the Disclosing Party’s Confidential Information (e) is required to be disclosed by the Receiving Party as a matter of law or by order of a court or by a regulatory body, provided that the Receiving Party promptly notifies the Disclosing Party (where lawfully permitted to do so) so that Disclosing Party may intervene to contest such disclosure requirement and/or seek an appropriate protective order or waive compliance with this section. .</w:t>
      </w:r>
      <w:r>
        <w:rPr>
          <w:b/>
        </w:rPr>
        <w:t xml:space="preserve"> </w:t>
      </w:r>
    </w:p>
    <w:p w14:paraId="15862E8D" w14:textId="77777777" w:rsidR="001639DC" w:rsidRDefault="00C83994">
      <w:pPr>
        <w:ind w:left="-5" w:right="7"/>
      </w:pPr>
      <w:r>
        <w:rPr>
          <w:b/>
          <w:sz w:val="18"/>
          <w:szCs w:val="18"/>
        </w:rPr>
        <w:t xml:space="preserve">12.2 </w:t>
      </w:r>
      <w:r>
        <w:rPr>
          <w:b/>
        </w:rPr>
        <w:t xml:space="preserve">Automated Verification. </w:t>
      </w:r>
      <w:r>
        <w:t>The Software may contain or require a license key to prevent unauthorized installation or to enforce limits of the Software License, and may contain devices or functionality to monitor Licensee’s compliance with this EULA.</w:t>
      </w:r>
      <w:r>
        <w:rPr>
          <w:b/>
        </w:rPr>
        <w:t xml:space="preserve"> </w:t>
      </w:r>
    </w:p>
    <w:p w14:paraId="57B49BEE" w14:textId="77777777" w:rsidR="001639DC" w:rsidRDefault="00C83994">
      <w:pPr>
        <w:ind w:left="-5" w:right="7"/>
      </w:pPr>
      <w:r>
        <w:rPr>
          <w:b/>
          <w:sz w:val="18"/>
          <w:szCs w:val="18"/>
        </w:rPr>
        <w:t xml:space="preserve">12.3 </w:t>
      </w:r>
      <w:r>
        <w:rPr>
          <w:b/>
        </w:rPr>
        <w:t xml:space="preserve">Developer Tools. </w:t>
      </w:r>
      <w:r>
        <w:t>OT is not responsible or liable for Licensee’s development or use of additional software code or software products (“</w:t>
      </w:r>
      <w:r>
        <w:rPr>
          <w:b/>
        </w:rPr>
        <w:t>Licensee Software</w:t>
      </w:r>
      <w:r>
        <w:t>”) using software developer tools licensed by OT and Licensee will defend and indemnify OT against any claims, damages, costs, losses or expenses related to the development or use of the Licensee Software.</w:t>
      </w:r>
      <w:r>
        <w:rPr>
          <w:b/>
        </w:rPr>
        <w:t xml:space="preserve"> </w:t>
      </w:r>
    </w:p>
    <w:p w14:paraId="46CEE8F4" w14:textId="77777777" w:rsidR="001639DC" w:rsidRDefault="00C83994">
      <w:pPr>
        <w:ind w:left="-5" w:right="7"/>
      </w:pPr>
      <w:r>
        <w:rPr>
          <w:b/>
          <w:sz w:val="18"/>
          <w:szCs w:val="18"/>
        </w:rPr>
        <w:t xml:space="preserve">12.4 </w:t>
      </w:r>
      <w:r>
        <w:rPr>
          <w:b/>
        </w:rPr>
        <w:t xml:space="preserve">Independent Contractors. </w:t>
      </w:r>
      <w:r>
        <w:t>OT and Licensee are independent contractors. Neither party has any authority to bind the other in any manner.</w:t>
      </w:r>
      <w:r>
        <w:rPr>
          <w:b/>
        </w:rPr>
        <w:t xml:space="preserve"> </w:t>
      </w:r>
    </w:p>
    <w:p w14:paraId="0ACBBD46" w14:textId="77777777" w:rsidR="001639DC" w:rsidRDefault="00C83994">
      <w:pPr>
        <w:ind w:left="-5" w:right="7"/>
      </w:pPr>
      <w:r>
        <w:rPr>
          <w:b/>
          <w:sz w:val="18"/>
          <w:szCs w:val="18"/>
        </w:rPr>
        <w:t xml:space="preserve">12.5 </w:t>
      </w:r>
      <w:r>
        <w:rPr>
          <w:b/>
        </w:rPr>
        <w:t xml:space="preserve">Waiver, Amendment, Assignment. </w:t>
      </w:r>
      <w:r>
        <w:t xml:space="preserve">Any amendment of this EULA must be in writing and signed by both parties. Licensee may not assign, transfer, or sublicense any portion of its interests, rights, or obligations under this EULA by written agreement, merger, consolidation, change of control, operation of law, or otherwise, without the prior written consent of OT. Neither party will be deemed to have waived any of its rights under this EULA by lapse of time or by any statement or representation other than by a written waiver by a duly authorized representative. No waiver of a breach of this EULA will constitute a waiver of any prior or subsequent breach of this EULA. An assignment in contravention of this subsection will be null and void. Except to the extent identified in this subsection, this EULA will be binding upon and inure to the benefit of the respective successors and assigns of the parties. </w:t>
      </w:r>
    </w:p>
    <w:p w14:paraId="4528D7BC" w14:textId="77777777" w:rsidR="001639DC" w:rsidRDefault="00C83994">
      <w:pPr>
        <w:spacing w:after="4" w:line="242" w:lineRule="auto"/>
        <w:ind w:left="-5"/>
      </w:pPr>
      <w:r>
        <w:rPr>
          <w:b/>
          <w:sz w:val="18"/>
          <w:szCs w:val="18"/>
        </w:rPr>
        <w:t xml:space="preserve">12.6 Governing Law. </w:t>
      </w:r>
      <w:r>
        <w:rPr>
          <w:sz w:val="18"/>
          <w:szCs w:val="18"/>
        </w:rPr>
        <w:t>This EULA is governed by the laws of Austria excluding (a) its conflicts or choice of law rules, and (b) the United Nations Convention on Contracts for the International Sale of Goods. Except for a request by OT for injunctive or other equitable relief, any dispute arising out of this EULA will be subject to the exclusive jurisdiction of the courts of Vienna. The prevailing party in any litigation related to this EULA will be entitled to its reasonable attorneys’ fees and court costs.</w:t>
      </w:r>
      <w:r>
        <w:rPr>
          <w:b/>
          <w:sz w:val="18"/>
          <w:szCs w:val="18"/>
        </w:rPr>
        <w:t xml:space="preserve"> </w:t>
      </w:r>
    </w:p>
    <w:p w14:paraId="4AE90EB4" w14:textId="77777777" w:rsidR="001639DC" w:rsidRDefault="00C83994">
      <w:pPr>
        <w:spacing w:after="4" w:line="242" w:lineRule="auto"/>
        <w:ind w:left="-5"/>
      </w:pPr>
      <w:r>
        <w:rPr>
          <w:b/>
          <w:sz w:val="18"/>
          <w:szCs w:val="18"/>
        </w:rPr>
        <w:t xml:space="preserve">12.7 Force Majeure. </w:t>
      </w:r>
      <w:r>
        <w:rPr>
          <w:sz w:val="18"/>
          <w:szCs w:val="18"/>
        </w:rPr>
        <w:t>Except for payment and confidentiality obligations, or protection of intellectual property, neither party is responsible for any delay or failure in performance of this EULA to the extent due to causes beyond its reasonable control.</w:t>
      </w:r>
      <w:r>
        <w:rPr>
          <w:b/>
          <w:sz w:val="18"/>
          <w:szCs w:val="18"/>
        </w:rPr>
        <w:t xml:space="preserve"> </w:t>
      </w:r>
    </w:p>
    <w:p w14:paraId="69E5ED33" w14:textId="77777777" w:rsidR="001639DC" w:rsidRDefault="00C83994">
      <w:pPr>
        <w:spacing w:after="4" w:line="242" w:lineRule="auto"/>
        <w:ind w:left="-5"/>
      </w:pPr>
      <w:r>
        <w:rPr>
          <w:b/>
          <w:sz w:val="18"/>
          <w:szCs w:val="18"/>
        </w:rPr>
        <w:t xml:space="preserve">12.8 Severability. </w:t>
      </w:r>
      <w:r>
        <w:rPr>
          <w:sz w:val="18"/>
          <w:szCs w:val="18"/>
        </w:rPr>
        <w:t>If any provision of this EULA or becomes invalid or unenforceable in whole or in part, the remaining provisions shall remain unaffected. The ineffective or unenforceable provision shall be replaced by such valid and enforceable provision which comes closest to what the parties would have agreed if they had known the ineffectiveness or unenforceability. This shall apply accordingly in the event of any gap in this EULA.</w:t>
      </w:r>
      <w:r>
        <w:rPr>
          <w:b/>
          <w:sz w:val="18"/>
          <w:szCs w:val="18"/>
        </w:rPr>
        <w:t xml:space="preserve"> </w:t>
      </w:r>
    </w:p>
    <w:p w14:paraId="34C9A741" w14:textId="77777777" w:rsidR="001639DC" w:rsidRDefault="00C83994">
      <w:pPr>
        <w:spacing w:after="4" w:line="242" w:lineRule="auto"/>
        <w:ind w:left="-5"/>
      </w:pPr>
      <w:r>
        <w:rPr>
          <w:b/>
          <w:sz w:val="18"/>
          <w:szCs w:val="18"/>
        </w:rPr>
        <w:lastRenderedPageBreak/>
        <w:t xml:space="preserve">12.9 Export Laws. </w:t>
      </w:r>
      <w:r>
        <w:rPr>
          <w:sz w:val="18"/>
          <w:szCs w:val="18"/>
        </w:rPr>
        <w:t>The Software, including Documentation, is subject to U.S. export control laws, including the U.S. Export Administration Act and its associated regulations, and may be subject to export or import regulations in other countries. Licensee will comply strictly with all regulations and has the responsibility to obtain any licenses required to export, re-export, or import Software or Documentation.</w:t>
      </w:r>
      <w:r>
        <w:rPr>
          <w:b/>
          <w:sz w:val="18"/>
          <w:szCs w:val="18"/>
        </w:rPr>
        <w:t xml:space="preserve"> </w:t>
      </w:r>
    </w:p>
    <w:p w14:paraId="37222767" w14:textId="77777777" w:rsidR="001639DC" w:rsidRDefault="00C83994">
      <w:pPr>
        <w:spacing w:after="4" w:line="242" w:lineRule="auto"/>
        <w:ind w:left="-5"/>
      </w:pPr>
      <w:r>
        <w:rPr>
          <w:b/>
          <w:sz w:val="18"/>
          <w:szCs w:val="18"/>
        </w:rPr>
        <w:t xml:space="preserve">12.10 Press Release. </w:t>
      </w:r>
      <w:r>
        <w:rPr>
          <w:sz w:val="18"/>
          <w:szCs w:val="18"/>
        </w:rPr>
        <w:t>With Licensee’s prior approval, OT may refer to Licensee’s relationship with OT in a public press release or marketing materials.</w:t>
      </w:r>
      <w:r>
        <w:rPr>
          <w:b/>
          <w:sz w:val="18"/>
          <w:szCs w:val="18"/>
        </w:rPr>
        <w:t xml:space="preserve"> </w:t>
      </w:r>
    </w:p>
    <w:p w14:paraId="344E7C80" w14:textId="77777777" w:rsidR="001639DC" w:rsidRDefault="00C83994">
      <w:pPr>
        <w:spacing w:after="4" w:line="242" w:lineRule="auto"/>
        <w:ind w:left="-5"/>
      </w:pPr>
      <w:r>
        <w:rPr>
          <w:b/>
          <w:sz w:val="18"/>
          <w:szCs w:val="18"/>
        </w:rPr>
        <w:t xml:space="preserve">12.11 Attribution Notices. </w:t>
      </w:r>
      <w:r>
        <w:rPr>
          <w:sz w:val="18"/>
          <w:szCs w:val="18"/>
        </w:rPr>
        <w:t>Licensee will not remove, modify, obscure, resize, or relocate any ownership, attribution, or branding notices from the Software.</w:t>
      </w:r>
      <w:r>
        <w:rPr>
          <w:b/>
          <w:sz w:val="18"/>
          <w:szCs w:val="18"/>
        </w:rPr>
        <w:t xml:space="preserve"> </w:t>
      </w:r>
    </w:p>
    <w:p w14:paraId="420B0B6C" w14:textId="77777777" w:rsidR="001639DC" w:rsidRDefault="00C83994">
      <w:pPr>
        <w:spacing w:after="4" w:line="242" w:lineRule="auto"/>
        <w:ind w:left="-5"/>
      </w:pPr>
      <w:r>
        <w:rPr>
          <w:b/>
          <w:sz w:val="18"/>
          <w:szCs w:val="18"/>
        </w:rPr>
        <w:t xml:space="preserve">12.12 Resale of Third Party Software. </w:t>
      </w:r>
      <w:r>
        <w:rPr>
          <w:sz w:val="18"/>
          <w:szCs w:val="18"/>
        </w:rPr>
        <w:t>The use of any Third Party Software resold by OT to the Licensee will be governed by a license agreement between the Third Party Software owner and the Licensee. OT does not provide any warranties related to the Third Party Software. OT has no liability or obligation to the Licensee related to the Third Party Software.</w:t>
      </w:r>
      <w:r>
        <w:rPr>
          <w:b/>
          <w:sz w:val="18"/>
          <w:szCs w:val="18"/>
        </w:rPr>
        <w:t xml:space="preserve"> </w:t>
      </w:r>
    </w:p>
    <w:p w14:paraId="3CC20EAB" w14:textId="77777777" w:rsidR="001639DC" w:rsidRDefault="00C83994">
      <w:pPr>
        <w:spacing w:after="4" w:line="242" w:lineRule="auto"/>
        <w:ind w:left="-5"/>
      </w:pPr>
      <w:r>
        <w:rPr>
          <w:b/>
          <w:sz w:val="18"/>
          <w:szCs w:val="18"/>
        </w:rPr>
        <w:t xml:space="preserve">12.13 Entire License Agreement. </w:t>
      </w:r>
      <w:r>
        <w:rPr>
          <w:sz w:val="18"/>
          <w:szCs w:val="18"/>
        </w:rPr>
        <w:t>The License Documents set forth the entire agreement between the parties with respect to this subject matter, and supersede all other related oral and written agreements and communications between the parties. Neither party has relied upon such other agreements or communications. Any purchase order terms which purport to amend or modify terms of the License Documents, or which conflict with the License Documents are void and shall have no legal effect notwithstanding the fact the purchase order terms being later in time or OT issuing an invoice to Licensee after receiving such purchase order from Licensee.</w:t>
      </w:r>
      <w:r>
        <w:rPr>
          <w:b/>
          <w:sz w:val="18"/>
          <w:szCs w:val="18"/>
        </w:rPr>
        <w:t xml:space="preserve"> </w:t>
      </w:r>
    </w:p>
    <w:p w14:paraId="7BB98731" w14:textId="77777777" w:rsidR="001639DC" w:rsidRDefault="00C83994">
      <w:pPr>
        <w:spacing w:after="4" w:line="242" w:lineRule="auto"/>
        <w:ind w:left="-5"/>
      </w:pPr>
      <w:r>
        <w:rPr>
          <w:b/>
          <w:sz w:val="18"/>
          <w:szCs w:val="18"/>
        </w:rPr>
        <w:t xml:space="preserve">12.14 Transaction Documents and Order of Priority. </w:t>
      </w:r>
      <w:r>
        <w:rPr>
          <w:sz w:val="18"/>
          <w:szCs w:val="18"/>
        </w:rPr>
        <w:t>OT and Licensee may agree in a Transaction Document to special provisions which amend or vary a party’s rights or obligations under this EULA (including any addenda), the License Model Schedule, Documentation, the document entitled Third Party Notifications available at</w:t>
      </w:r>
      <w:hyperlink r:id="rId33">
        <w:r>
          <w:rPr>
            <w:sz w:val="18"/>
            <w:szCs w:val="18"/>
          </w:rPr>
          <w:t xml:space="preserve"> </w:t>
        </w:r>
      </w:hyperlink>
      <w:hyperlink r:id="rId34">
        <w:r>
          <w:rPr>
            <w:color w:val="0000FF"/>
            <w:sz w:val="18"/>
            <w:szCs w:val="18"/>
            <w:u w:val="single"/>
          </w:rPr>
          <w:t>www.opentext.com/agreements</w:t>
        </w:r>
      </w:hyperlink>
      <w:hyperlink r:id="rId35">
        <w:r>
          <w:rPr>
            <w:color w:val="0000FF"/>
            <w:sz w:val="18"/>
            <w:szCs w:val="18"/>
          </w:rPr>
          <w:t xml:space="preserve"> </w:t>
        </w:r>
      </w:hyperlink>
      <w:r>
        <w:rPr>
          <w:sz w:val="18"/>
          <w:szCs w:val="18"/>
        </w:rPr>
        <w:t xml:space="preserve">or any other documents provided by OT setting out permitted uses of the Software. In the event of an inconsistency between: (i) special provisions agreed in a Transaction Document, (ii) this EULA (including any addenda), (iii) the License Model Schedule, Documentation, the document entitled Third Party Notifications available at </w:t>
      </w:r>
      <w:hyperlink r:id="rId36">
        <w:r>
          <w:rPr>
            <w:color w:val="0000FF"/>
            <w:sz w:val="18"/>
            <w:szCs w:val="18"/>
            <w:u w:val="single"/>
          </w:rPr>
          <w:t>www.opentext.com/agreements</w:t>
        </w:r>
      </w:hyperlink>
      <w:hyperlink r:id="rId37">
        <w:r>
          <w:rPr>
            <w:color w:val="0000FF"/>
            <w:sz w:val="18"/>
            <w:szCs w:val="18"/>
          </w:rPr>
          <w:t xml:space="preserve"> </w:t>
        </w:r>
      </w:hyperlink>
      <w:r>
        <w:rPr>
          <w:sz w:val="18"/>
          <w:szCs w:val="18"/>
        </w:rPr>
        <w:t>or any other documents provided by OT setting out permitted uses of the Software, the documents shall be interpreted in that order to the extent of the inconsistency.</w:t>
      </w:r>
      <w:r>
        <w:rPr>
          <w:b/>
          <w:sz w:val="18"/>
          <w:szCs w:val="18"/>
        </w:rPr>
        <w:t xml:space="preserve"> </w:t>
      </w:r>
    </w:p>
    <w:p w14:paraId="1784512C" w14:textId="77777777" w:rsidR="001639DC" w:rsidRDefault="00C83994">
      <w:pPr>
        <w:spacing w:after="4" w:line="242" w:lineRule="auto"/>
        <w:ind w:left="-5"/>
      </w:pPr>
      <w:r>
        <w:rPr>
          <w:b/>
          <w:sz w:val="18"/>
          <w:szCs w:val="18"/>
        </w:rPr>
        <w:t xml:space="preserve">12.15 Third Party Rights. </w:t>
      </w:r>
      <w:r>
        <w:rPr>
          <w:sz w:val="18"/>
          <w:szCs w:val="18"/>
        </w:rPr>
        <w:t>This EULA does not confer a benefit on, and is not enforceable by, any person or entity who is not a party to this EULA.</w:t>
      </w:r>
      <w:r>
        <w:rPr>
          <w:b/>
          <w:sz w:val="18"/>
          <w:szCs w:val="18"/>
        </w:rPr>
        <w:t xml:space="preserve"> </w:t>
      </w:r>
    </w:p>
    <w:p w14:paraId="4A2ACDE4" w14:textId="77777777" w:rsidR="001639DC" w:rsidRDefault="00C83994">
      <w:pPr>
        <w:spacing w:after="4" w:line="242" w:lineRule="auto"/>
        <w:ind w:left="-5"/>
      </w:pPr>
      <w:r>
        <w:rPr>
          <w:b/>
          <w:sz w:val="18"/>
          <w:szCs w:val="18"/>
        </w:rPr>
        <w:t xml:space="preserve">12.16 Legal Review and Interpretation. </w:t>
      </w:r>
      <w:r>
        <w:rPr>
          <w:sz w:val="18"/>
          <w:szCs w:val="18"/>
        </w:rPr>
        <w:t>Both parties have had an opportunity for legal review of the License Documents. The parties agree that the License Documents result from negotiation between the parties. The License Documents will not be construed in favor of or against either party by reason of authorship. The headings used in this EULA are for convenience only. The term section refers to all subsections below a section heading (i.e. 3.0) and the term subsection refers to sequentially numbered subsections following a section (i.e. 3.1).</w:t>
      </w:r>
      <w:r>
        <w:rPr>
          <w:b/>
          <w:sz w:val="18"/>
          <w:szCs w:val="18"/>
        </w:rPr>
        <w:t xml:space="preserve"> </w:t>
      </w:r>
    </w:p>
    <w:p w14:paraId="6729738D" w14:textId="77777777" w:rsidR="001639DC" w:rsidRDefault="00C83994">
      <w:pPr>
        <w:spacing w:after="4" w:line="242" w:lineRule="auto"/>
        <w:ind w:left="-5"/>
      </w:pPr>
      <w:r>
        <w:rPr>
          <w:b/>
          <w:sz w:val="18"/>
          <w:szCs w:val="18"/>
        </w:rPr>
        <w:t xml:space="preserve">12.17 Notices. </w:t>
      </w:r>
      <w:r>
        <w:rPr>
          <w:sz w:val="18"/>
          <w:szCs w:val="18"/>
        </w:rPr>
        <w:t>Any notice under this EULA that must be given by a party in writing is deemed effective when sent either: (a) via certified or registered mail, postage prepaid, or (b) via express mail or nationally recognized courier service to the other party’s address specified in this EULA or on the most recent Transaction Document. Notices to OT will also be sent to OT’s general counsel at Wagramer Straße 19, 1220 Vienna, Austria.</w:t>
      </w:r>
      <w:r>
        <w:rPr>
          <w:b/>
          <w:sz w:val="18"/>
          <w:szCs w:val="18"/>
        </w:rPr>
        <w:t xml:space="preserve"> </w:t>
      </w:r>
    </w:p>
    <w:p w14:paraId="3C42CC41" w14:textId="77777777" w:rsidR="001639DC" w:rsidRDefault="00C83994">
      <w:pPr>
        <w:spacing w:after="4" w:line="242" w:lineRule="auto"/>
        <w:ind w:left="-5"/>
      </w:pPr>
      <w:r>
        <w:rPr>
          <w:b/>
          <w:sz w:val="18"/>
          <w:szCs w:val="18"/>
        </w:rPr>
        <w:t xml:space="preserve">12.18 Hardware. </w:t>
      </w:r>
      <w:r>
        <w:rPr>
          <w:sz w:val="18"/>
          <w:szCs w:val="18"/>
        </w:rPr>
        <w:t>If hardware is identified on a transaction document, the sale and use of the hardware will be governed by terms other than this EULA. OT disclaims all warranties and liability with respect to the hardware.</w:t>
      </w:r>
      <w:r>
        <w:rPr>
          <w:b/>
          <w:sz w:val="18"/>
          <w:szCs w:val="18"/>
        </w:rPr>
        <w:t xml:space="preserve"> </w:t>
      </w:r>
    </w:p>
    <w:p w14:paraId="69A29FE5" w14:textId="77777777" w:rsidR="001639DC" w:rsidRDefault="00C83994">
      <w:pPr>
        <w:spacing w:line="259" w:lineRule="auto"/>
        <w:jc w:val="left"/>
      </w:pPr>
      <w:r>
        <w:rPr>
          <w:b/>
          <w:sz w:val="18"/>
          <w:szCs w:val="18"/>
        </w:rPr>
        <w:t xml:space="preserve"> </w:t>
      </w:r>
    </w:p>
    <w:p w14:paraId="1EDCFC92" w14:textId="77777777" w:rsidR="001639DC" w:rsidRDefault="00C83994">
      <w:pPr>
        <w:spacing w:line="259" w:lineRule="auto"/>
        <w:jc w:val="left"/>
      </w:pPr>
      <w:r>
        <w:t xml:space="preserve"> </w:t>
      </w:r>
    </w:p>
    <w:p w14:paraId="1ED2217E" w14:textId="77777777" w:rsidR="001639DC" w:rsidRDefault="001639DC">
      <w:pPr>
        <w:rPr>
          <w:highlight w:val="yellow"/>
        </w:rPr>
      </w:pPr>
    </w:p>
    <w:sectPr w:rsidR="001639DC">
      <w:pgSz w:w="11906" w:h="16838"/>
      <w:pgMar w:top="1134" w:right="1418" w:bottom="1134"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453"/>
    <w:multiLevelType w:val="multilevel"/>
    <w:tmpl w:val="9C62DC6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D5705D8"/>
    <w:multiLevelType w:val="multilevel"/>
    <w:tmpl w:val="C07845C6"/>
    <w:lvl w:ilvl="0">
      <w:start w:val="1"/>
      <w:numFmt w:val="decimal"/>
      <w:lvlText w:val="%1."/>
      <w:lvlJc w:val="left"/>
      <w:pPr>
        <w:ind w:left="360" w:hanging="360"/>
      </w:pPr>
      <w:rPr>
        <w:b w:val="0"/>
        <w:color w:val="000000"/>
      </w:rPr>
    </w:lvl>
    <w:lvl w:ilvl="1">
      <w:start w:val="1"/>
      <w:numFmt w:val="lowerLetter"/>
      <w:lvlText w:val="%2)"/>
      <w:lvlJc w:val="left"/>
      <w:pPr>
        <w:ind w:left="1425" w:hanging="705"/>
      </w:pPr>
      <w:rPr>
        <w:b w:val="0"/>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060F62"/>
    <w:multiLevelType w:val="multilevel"/>
    <w:tmpl w:val="9CEC78AC"/>
    <w:lvl w:ilvl="0">
      <w:start w:val="1"/>
      <w:numFmt w:val="decimal"/>
      <w:pStyle w:val="Seznamsodrkami2"/>
      <w:lvlText w:val="%1."/>
      <w:lvlJc w:val="left"/>
      <w:pPr>
        <w:tabs>
          <w:tab w:val="num" w:pos="720"/>
        </w:tabs>
        <w:ind w:left="720" w:hanging="720"/>
      </w:pPr>
    </w:lvl>
    <w:lvl w:ilvl="1">
      <w:start w:val="1"/>
      <w:numFmt w:val="decimal"/>
      <w:pStyle w:val="Nzev2"/>
      <w:lvlText w:val="%2."/>
      <w:lvlJc w:val="left"/>
      <w:pPr>
        <w:tabs>
          <w:tab w:val="num" w:pos="1440"/>
        </w:tabs>
        <w:ind w:left="1440" w:hanging="720"/>
      </w:pPr>
    </w:lvl>
    <w:lvl w:ilvl="2">
      <w:start w:val="1"/>
      <w:numFmt w:val="decimal"/>
      <w:pStyle w:val="SSBod"/>
      <w:lvlText w:val="%3."/>
      <w:lvlJc w:val="left"/>
      <w:pPr>
        <w:tabs>
          <w:tab w:val="num" w:pos="2160"/>
        </w:tabs>
        <w:ind w:left="2160" w:hanging="720"/>
      </w:pPr>
    </w:lvl>
    <w:lvl w:ilvl="3">
      <w:start w:val="1"/>
      <w:numFmt w:val="decimal"/>
      <w:pStyle w:val="SSPsmeno"/>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045F23"/>
    <w:multiLevelType w:val="multilevel"/>
    <w:tmpl w:val="F6D03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91141"/>
    <w:multiLevelType w:val="multilevel"/>
    <w:tmpl w:val="53CC3DA4"/>
    <w:lvl w:ilvl="0">
      <w:start w:val="1"/>
      <w:numFmt w:val="decimal"/>
      <w:lvlText w:val="%1."/>
      <w:lvlJc w:val="left"/>
      <w:pPr>
        <w:ind w:left="360" w:hanging="360"/>
      </w:pPr>
      <w:rPr>
        <w:b w:val="0"/>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5" w15:restartNumberingAfterBreak="0">
    <w:nsid w:val="251A1CB9"/>
    <w:multiLevelType w:val="multilevel"/>
    <w:tmpl w:val="378EC63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8C62C3"/>
    <w:multiLevelType w:val="multilevel"/>
    <w:tmpl w:val="51B64756"/>
    <w:lvl w:ilvl="0">
      <w:start w:val="1"/>
      <w:numFmt w:val="decimal"/>
      <w:pStyle w:val="Seznamsodrkami4"/>
      <w:lvlText w:val="%1."/>
      <w:lvlJc w:val="left"/>
      <w:pPr>
        <w:ind w:left="360" w:hanging="360"/>
      </w:pPr>
      <w:rPr>
        <w:b w:val="0"/>
        <w:i w:val="0"/>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495C68"/>
    <w:multiLevelType w:val="multilevel"/>
    <w:tmpl w:val="A9FEF7F0"/>
    <w:lvl w:ilvl="0">
      <w:start w:val="1"/>
      <w:numFmt w:val="decimal"/>
      <w:pStyle w:val="Slnek"/>
      <w:lvlText w:val="%1."/>
      <w:lvlJc w:val="left"/>
      <w:pPr>
        <w:ind w:left="283" w:hanging="283"/>
      </w:pPr>
      <w:rPr>
        <w:b w:val="0"/>
        <w:i w:val="0"/>
      </w:rPr>
    </w:lvl>
    <w:lvl w:ilvl="1">
      <w:start w:val="1"/>
      <w:numFmt w:val="lowerLetter"/>
      <w:pStyle w:val="SOdstavec"/>
      <w:lvlText w:val="%2)"/>
      <w:lvlJc w:val="left"/>
      <w:pPr>
        <w:ind w:left="1440" w:hanging="360"/>
      </w:pPr>
      <w:rPr>
        <w:rFonts w:ascii="Arial" w:eastAsia="Arial" w:hAnsi="Arial" w:cs="Arial"/>
      </w:rPr>
    </w:lvl>
    <w:lvl w:ilvl="2">
      <w:start w:val="1"/>
      <w:numFmt w:val="lowerRoman"/>
      <w:pStyle w:val="SBod"/>
      <w:lvlText w:val="%3."/>
      <w:lvlJc w:val="right"/>
      <w:pPr>
        <w:ind w:left="2160" w:hanging="180"/>
      </w:pPr>
    </w:lvl>
    <w:lvl w:ilvl="3">
      <w:start w:val="1"/>
      <w:numFmt w:val="decimal"/>
      <w:pStyle w:val="SPsmeno"/>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9E7F82"/>
    <w:multiLevelType w:val="multilevel"/>
    <w:tmpl w:val="EF6A7C1C"/>
    <w:lvl w:ilvl="0">
      <w:start w:val="1"/>
      <w:numFmt w:val="decimal"/>
      <w:pStyle w:val="Pr1Level1"/>
      <w:lvlText w:val="%1."/>
      <w:lvlJc w:val="left"/>
      <w:pPr>
        <w:ind w:left="360" w:hanging="360"/>
      </w:pPr>
    </w:lvl>
    <w:lvl w:ilvl="1">
      <w:start w:val="1"/>
      <w:numFmt w:val="lowerLetter"/>
      <w:pStyle w:val="Pr1Level11"/>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3B2F36"/>
    <w:multiLevelType w:val="multilevel"/>
    <w:tmpl w:val="B76AD1B4"/>
    <w:lvl w:ilvl="0">
      <w:start w:val="1"/>
      <w:numFmt w:val="decimal"/>
      <w:pStyle w:val="SBSSmlouva"/>
      <w:lvlText w:val="%1."/>
      <w:lvlJc w:val="left"/>
      <w:pPr>
        <w:ind w:left="360" w:hanging="360"/>
      </w:pPr>
      <w:rPr>
        <w:sz w:val="20"/>
        <w:szCs w:val="20"/>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43F6706B"/>
    <w:multiLevelType w:val="multilevel"/>
    <w:tmpl w:val="F1FCEF18"/>
    <w:lvl w:ilvl="0">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36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8226AF"/>
    <w:multiLevelType w:val="multilevel"/>
    <w:tmpl w:val="875428E8"/>
    <w:lvl w:ilvl="0">
      <w:start w:val="1"/>
      <w:numFmt w:val="decimal"/>
      <w:lvlText w:val="%1."/>
      <w:lvlJc w:val="left"/>
      <w:pPr>
        <w:ind w:left="360" w:hanging="360"/>
      </w:pPr>
      <w:rPr>
        <w:b w:val="0"/>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483E36DE"/>
    <w:multiLevelType w:val="multilevel"/>
    <w:tmpl w:val="2402A662"/>
    <w:lvl w:ilvl="0">
      <w:start w:val="1"/>
      <w:numFmt w:val="decimal"/>
      <w:lvlText w:val="%1."/>
      <w:lvlJc w:val="left"/>
      <w:pPr>
        <w:ind w:left="644" w:hanging="359"/>
      </w:pPr>
      <w:rPr>
        <w:b w:val="0"/>
        <w:color w:val="000000"/>
      </w:rPr>
    </w:lvl>
    <w:lvl w:ilvl="1">
      <w:start w:val="1"/>
      <w:numFmt w:val="decimal"/>
      <w:lvlText w:val="%1.%2."/>
      <w:lvlJc w:val="left"/>
      <w:pPr>
        <w:ind w:left="1076"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52194F20"/>
    <w:multiLevelType w:val="multilevel"/>
    <w:tmpl w:val="A2447F32"/>
    <w:lvl w:ilvl="0">
      <w:start w:val="1"/>
      <w:numFmt w:val="decimal"/>
      <w:lvlText w:val="%1."/>
      <w:lvlJc w:val="left"/>
      <w:pPr>
        <w:ind w:left="644" w:hanging="359"/>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F014B1"/>
    <w:multiLevelType w:val="multilevel"/>
    <w:tmpl w:val="0D3030EC"/>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15:restartNumberingAfterBreak="0">
    <w:nsid w:val="65814D20"/>
    <w:multiLevelType w:val="multilevel"/>
    <w:tmpl w:val="EF32EE90"/>
    <w:lvl w:ilvl="0">
      <w:start w:val="1"/>
      <w:numFmt w:val="decimal"/>
      <w:pStyle w:val="RLlneksmlouvy"/>
      <w:lvlText w:val="%1."/>
      <w:lvlJc w:val="left"/>
      <w:pPr>
        <w:ind w:left="720" w:hanging="360"/>
      </w:pPr>
    </w:lvl>
    <w:lvl w:ilvl="1">
      <w:start w:val="1"/>
      <w:numFmt w:val="lowerLetter"/>
      <w:pStyle w:val="RLTextlnkuslov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0"/>
  </w:num>
  <w:num w:numId="4">
    <w:abstractNumId w:val="7"/>
  </w:num>
  <w:num w:numId="5">
    <w:abstractNumId w:val="8"/>
  </w:num>
  <w:num w:numId="6">
    <w:abstractNumId w:val="15"/>
  </w:num>
  <w:num w:numId="7">
    <w:abstractNumId w:val="12"/>
  </w:num>
  <w:num w:numId="8">
    <w:abstractNumId w:val="11"/>
  </w:num>
  <w:num w:numId="9">
    <w:abstractNumId w:val="13"/>
  </w:num>
  <w:num w:numId="10">
    <w:abstractNumId w:val="1"/>
  </w:num>
  <w:num w:numId="11">
    <w:abstractNumId w:val="4"/>
  </w:num>
  <w:num w:numId="12">
    <w:abstractNumId w:val="5"/>
  </w:num>
  <w:num w:numId="13">
    <w:abstractNumId w:val="6"/>
  </w:num>
  <w:num w:numId="14">
    <w:abstractNumId w:val="3"/>
  </w:num>
  <w:num w:numId="15">
    <w:abstractNumId w:val="14"/>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DC"/>
    <w:rsid w:val="001610D9"/>
    <w:rsid w:val="001639DC"/>
    <w:rsid w:val="003538CC"/>
    <w:rsid w:val="005611DA"/>
    <w:rsid w:val="005A16DB"/>
    <w:rsid w:val="005A1AE0"/>
    <w:rsid w:val="007F0E35"/>
    <w:rsid w:val="00922109"/>
    <w:rsid w:val="00A010F4"/>
    <w:rsid w:val="00B72514"/>
    <w:rsid w:val="00C83994"/>
    <w:rsid w:val="00CA1EB9"/>
    <w:rsid w:val="00E62E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0746"/>
  <w15:docId w15:val="{5B0AB193-CA31-4B14-90C6-F2944D96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7CC9"/>
    <w:pPr>
      <w:autoSpaceDN w:val="0"/>
      <w:textAlignment w:val="baseline"/>
    </w:pPr>
    <w:rPr>
      <w:rFonts w:eastAsia="Times New Roman" w:cs="Times New Roman"/>
      <w:szCs w:val="24"/>
    </w:rPr>
  </w:style>
  <w:style w:type="paragraph" w:styleId="Nadpis1">
    <w:name w:val="heading 1"/>
    <w:next w:val="Normln"/>
    <w:link w:val="Nadpis1Char"/>
    <w:uiPriority w:val="9"/>
    <w:qFormat/>
    <w:rsid w:val="005C696E"/>
    <w:pPr>
      <w:keepNext/>
      <w:pBdr>
        <w:top w:val="nil"/>
        <w:left w:val="nil"/>
        <w:bottom w:val="nil"/>
        <w:right w:val="nil"/>
        <w:between w:val="nil"/>
        <w:bar w:val="nil"/>
      </w:pBdr>
      <w:outlineLvl w:val="0"/>
    </w:pPr>
    <w:rPr>
      <w:rFonts w:ascii="Courier New" w:eastAsia="Courier New" w:hAnsi="Courier New" w:cs="Courier New"/>
      <w:b/>
      <w:bCs/>
      <w:color w:val="000000"/>
      <w:sz w:val="16"/>
      <w:szCs w:val="16"/>
      <w:u w:val="single" w:color="000000"/>
      <w:bdr w:val="nil"/>
    </w:rPr>
  </w:style>
  <w:style w:type="paragraph" w:styleId="Nadpis2">
    <w:name w:val="heading 2"/>
    <w:basedOn w:val="Normln"/>
    <w:next w:val="Normln"/>
    <w:link w:val="Nadpis2Char"/>
    <w:uiPriority w:val="9"/>
    <w:semiHidden/>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uiPriority w:val="9"/>
    <w:semiHidden/>
    <w:unhideWhenUsed/>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uiPriority w:val="9"/>
    <w:semiHidden/>
    <w:unhideWhenUsed/>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uiPriority w:val="9"/>
    <w:semiHidden/>
    <w:unhideWhenUsed/>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style>
  <w:style w:type="table" w:styleId="Mkatabulky">
    <w:name w:val="Table Grid"/>
    <w:basedOn w:val="Normlntabulka"/>
    <w:uiPriority w:val="99"/>
    <w:rsid w:val="006C1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line="360" w:lineRule="auto"/>
    </w:pPr>
    <w:rPr>
      <w:rFonts w:ascii="Times New Roman" w:eastAsia="Times New Roman" w:hAnsi="Times New Roman" w:cs="Times New Roman"/>
      <w:color w:val="000000"/>
      <w:sz w:val="24"/>
      <w:szCs w:val="24"/>
      <w:u w:color="000000"/>
      <w:bdr w:val="nil"/>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rPr>
      <w:rFonts w:eastAsia="Times New Roman" w:cs="Times New Roman"/>
      <w:szCs w:val="24"/>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A4176"/>
    <w:rPr>
      <w:rFonts w:ascii="Arial" w:eastAsia="Times New Roman" w:hAnsi="Arial" w:cs="Times New Roman"/>
      <w:sz w:val="20"/>
      <w:szCs w:val="24"/>
      <w:lang w:eastAsia="cs-CZ"/>
    </w:rPr>
  </w:style>
  <w:style w:type="paragraph" w:styleId="Zhlav">
    <w:name w:val="header"/>
    <w:basedOn w:val="Normln"/>
    <w:link w:val="ZhlavChar"/>
    <w:unhideWhenUsed/>
    <w:rsid w:val="004778E8"/>
    <w:pPr>
      <w:tabs>
        <w:tab w:val="center" w:pos="4536"/>
        <w:tab w:val="right" w:pos="9072"/>
      </w:tabs>
    </w:pPr>
  </w:style>
  <w:style w:type="character" w:customStyle="1" w:styleId="ZhlavChar">
    <w:name w:val="Záhlaví Char"/>
    <w:basedOn w:val="Standardnpsmoodstavce"/>
    <w:link w:val="Zhlav"/>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4"/>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4"/>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4"/>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4"/>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5"/>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5"/>
      </w:numPr>
      <w:tabs>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line="240" w:lineRule="atLeast"/>
    </w:pPr>
    <w:rPr>
      <w:rFonts w:eastAsia="Times New Roman" w:cs="Times New Roman"/>
      <w:sz w:val="18"/>
      <w:szCs w:val="24"/>
      <w:lang w:val="en-US"/>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6"/>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6"/>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semiHidden/>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semiHidden/>
    <w:unhideWhenUsed/>
    <w:qFormat/>
    <w:rsid w:val="008A3E1F"/>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rsid w:val="0033309E"/>
  </w:style>
  <w:style w:type="numbering" w:customStyle="1" w:styleId="List11">
    <w:name w:val="List 11"/>
    <w:basedOn w:val="Bezseznamu"/>
    <w:rsid w:val="00357040"/>
  </w:style>
  <w:style w:type="numbering" w:customStyle="1" w:styleId="List12">
    <w:name w:val="List 12"/>
    <w:basedOn w:val="Bezseznamu"/>
    <w:rsid w:val="00357040"/>
  </w:style>
  <w:style w:type="paragraph" w:customStyle="1" w:styleId="Default">
    <w:name w:val="Default"/>
    <w:rsid w:val="00C81BE1"/>
    <w:pPr>
      <w:autoSpaceDE w:val="0"/>
      <w:autoSpaceDN w:val="0"/>
      <w:adjustRightInd w:val="0"/>
    </w:pPr>
    <w:rPr>
      <w:rFonts w:ascii="Times New Roman" w:hAnsi="Times New Roman" w:cs="Times New Roman"/>
      <w:color w:val="000000"/>
      <w:sz w:val="24"/>
      <w:szCs w:val="24"/>
    </w:rPr>
  </w:style>
  <w:style w:type="numbering" w:customStyle="1" w:styleId="List9">
    <w:name w:val="List 9"/>
    <w:basedOn w:val="Bezseznamu"/>
    <w:rsid w:val="004D0990"/>
  </w:style>
  <w:style w:type="paragraph" w:customStyle="1" w:styleId="NormalJustified">
    <w:name w:val="Normal (Justified)"/>
    <w:basedOn w:val="Normln"/>
    <w:uiPriority w:val="99"/>
    <w:rsid w:val="00FC3716"/>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13"/>
      </w:numPr>
      <w:autoSpaceDN/>
      <w:spacing w:after="120"/>
      <w:textAlignment w:val="auto"/>
    </w:pPr>
    <w:rPr>
      <w:sz w:val="24"/>
    </w:rPr>
  </w:style>
  <w:style w:type="numbering" w:customStyle="1" w:styleId="Seznam21">
    <w:name w:val="Seznam 21"/>
    <w:basedOn w:val="Bezseznamu"/>
    <w:rsid w:val="00BD2ED8"/>
  </w:style>
  <w:style w:type="character" w:customStyle="1" w:styleId="TextkomenteChar2">
    <w:name w:val="Text komentáře Char2"/>
    <w:basedOn w:val="Standardnpsmoodstavce"/>
    <w:uiPriority w:val="99"/>
    <w:rsid w:val="00052248"/>
  </w:style>
  <w:style w:type="paragraph" w:customStyle="1" w:styleId="Numberedlist22">
    <w:name w:val="Numbered list 2.2"/>
    <w:basedOn w:val="Nadpis2"/>
    <w:next w:val="Normln"/>
    <w:rsid w:val="00AB49BB"/>
    <w:pPr>
      <w:keepLines w:val="0"/>
      <w:tabs>
        <w:tab w:val="left" w:pos="720"/>
        <w:tab w:val="num" w:pos="1080"/>
      </w:tabs>
      <w:autoSpaceDN/>
      <w:spacing w:before="240" w:after="60"/>
      <w:ind w:left="720" w:hanging="360"/>
      <w:jc w:val="left"/>
      <w:textAlignment w:val="auto"/>
    </w:pPr>
    <w:rPr>
      <w:rFonts w:ascii="Cambria" w:eastAsia="Times New Roman" w:hAnsi="Cambria" w:cs="Times New Roman"/>
      <w:bCs w:val="0"/>
      <w:color w:val="auto"/>
      <w:sz w:val="24"/>
      <w:szCs w:val="20"/>
      <w:lang w:val="en-US" w:eastAsia="en-US"/>
    </w:rPr>
  </w:style>
  <w:style w:type="paragraph" w:customStyle="1" w:styleId="TableText10Bold">
    <w:name w:val="*Table Text 10 Bold"/>
    <w:basedOn w:val="Normln"/>
    <w:rsid w:val="00121BD4"/>
    <w:pPr>
      <w:autoSpaceDN/>
      <w:jc w:val="left"/>
      <w:textAlignment w:val="auto"/>
    </w:pPr>
    <w:rPr>
      <w:b/>
      <w:color w:val="000000"/>
      <w:szCs w:val="20"/>
      <w:lang w:val="en-US" w:eastAsia="en-US"/>
    </w:rPr>
  </w:style>
  <w:style w:type="character" w:customStyle="1" w:styleId="TableHeading1Char">
    <w:name w:val="*Table Heading 1 Char"/>
    <w:link w:val="TableHeading1"/>
    <w:locked/>
    <w:rsid w:val="00121BD4"/>
    <w:rPr>
      <w:rFonts w:ascii="Arial" w:hAnsi="Arial" w:cs="Arial"/>
      <w:b/>
      <w:color w:val="FFFFFF"/>
      <w:sz w:val="18"/>
      <w:szCs w:val="24"/>
      <w:lang w:val="en-US"/>
    </w:rPr>
  </w:style>
  <w:style w:type="paragraph" w:customStyle="1" w:styleId="TableHeading1">
    <w:name w:val="*Table Heading 1"/>
    <w:basedOn w:val="TableText"/>
    <w:link w:val="TableHeading1Char"/>
    <w:rsid w:val="00121BD4"/>
    <w:pPr>
      <w:spacing w:before="40" w:after="40"/>
      <w:ind w:left="113"/>
    </w:pPr>
    <w:rPr>
      <w:rFonts w:eastAsiaTheme="minorHAnsi" w:cs="Arial"/>
      <w:b/>
      <w:color w:val="FFFFFF"/>
      <w:lang w:eastAsia="en-US"/>
    </w:rPr>
  </w:style>
  <w:style w:type="paragraph" w:styleId="Seznamsodrkami2">
    <w:name w:val="List Bullet 2"/>
    <w:basedOn w:val="Normln"/>
    <w:uiPriority w:val="99"/>
    <w:unhideWhenUsed/>
    <w:rsid w:val="00160073"/>
    <w:pPr>
      <w:numPr>
        <w:numId w:val="16"/>
      </w:numPr>
      <w:contextualSpacing/>
    </w:pPr>
  </w:style>
  <w:style w:type="paragraph" w:customStyle="1" w:styleId="Popisek-tabulka">
    <w:name w:val="Popisek - tabulka"/>
    <w:basedOn w:val="Normln"/>
    <w:rsid w:val="00160073"/>
    <w:pPr>
      <w:keepLines/>
      <w:tabs>
        <w:tab w:val="num" w:pos="720"/>
      </w:tabs>
      <w:autoSpaceDN/>
      <w:spacing w:before="120" w:after="240"/>
      <w:ind w:left="720" w:hanging="720"/>
      <w:jc w:val="left"/>
      <w:textAlignment w:val="auto"/>
    </w:pPr>
    <w:rPr>
      <w:rFonts w:ascii="Verdana" w:hAnsi="Verdana"/>
      <w:sz w:val="16"/>
    </w:rPr>
  </w:style>
  <w:style w:type="paragraph" w:customStyle="1" w:styleId="Nzev2">
    <w:name w:val="Název 2"/>
    <w:basedOn w:val="Normln"/>
    <w:rsid w:val="009A3551"/>
    <w:pPr>
      <w:keepLines/>
      <w:numPr>
        <w:ilvl w:val="1"/>
        <w:numId w:val="18"/>
      </w:numPr>
      <w:suppressAutoHyphens/>
      <w:autoSpaceDN/>
      <w:spacing w:before="120" w:after="100" w:afterAutospacing="1" w:line="360" w:lineRule="auto"/>
      <w:jc w:val="left"/>
      <w:textAlignment w:val="auto"/>
    </w:pPr>
    <w:rPr>
      <w:b/>
      <w:color w:val="3366FF"/>
      <w:sz w:val="24"/>
    </w:rPr>
  </w:style>
  <w:style w:type="paragraph" w:customStyle="1" w:styleId="TableHeading">
    <w:name w:val="Table Heading"/>
    <w:basedOn w:val="Normln"/>
    <w:rsid w:val="0097743A"/>
    <w:pPr>
      <w:keepLines/>
      <w:autoSpaceDN/>
      <w:spacing w:before="120" w:after="120"/>
      <w:jc w:val="left"/>
      <w:textAlignment w:val="auto"/>
    </w:pPr>
    <w:rPr>
      <w:rFonts w:ascii="Book Antiqua" w:hAnsi="Book Antiqua"/>
      <w:b/>
      <w:sz w:val="16"/>
      <w:szCs w:val="20"/>
      <w:lang w:val="en-US" w:eastAsia="es-ES"/>
    </w:rPr>
  </w:style>
  <w:style w:type="character" w:customStyle="1" w:styleId="TableBodyChar">
    <w:name w:val="Table Body Char"/>
    <w:basedOn w:val="Standardnpsmoodstavce"/>
    <w:link w:val="TableBody"/>
    <w:locked/>
    <w:rsid w:val="0097743A"/>
    <w:rPr>
      <w:rFonts w:ascii="Arial" w:hAnsi="Arial" w:cs="Arial"/>
    </w:rPr>
  </w:style>
  <w:style w:type="paragraph" w:customStyle="1" w:styleId="TableBody">
    <w:name w:val="Table Body"/>
    <w:basedOn w:val="Normln"/>
    <w:link w:val="TableBodyChar"/>
    <w:rsid w:val="0097743A"/>
    <w:pPr>
      <w:autoSpaceDN/>
      <w:jc w:val="left"/>
      <w:textAlignment w:val="auto"/>
    </w:pPr>
    <w:rPr>
      <w:rFonts w:eastAsiaTheme="minorHAnsi" w:cs="Arial"/>
      <w:sz w:val="22"/>
      <w:szCs w:val="22"/>
      <w:lang w:eastAsia="en-US"/>
    </w:rPr>
  </w:style>
  <w:style w:type="paragraph" w:customStyle="1" w:styleId="Odstavec1">
    <w:name w:val="Odstavec 1."/>
    <w:basedOn w:val="Zkladntext"/>
    <w:link w:val="Odstavec1Char"/>
    <w:qFormat/>
    <w:rsid w:val="0097743A"/>
    <w:pPr>
      <w:tabs>
        <w:tab w:val="num" w:pos="720"/>
      </w:tabs>
      <w:autoSpaceDN/>
      <w:spacing w:line="276" w:lineRule="auto"/>
      <w:ind w:left="720" w:hanging="720"/>
      <w:jc w:val="both"/>
      <w:textAlignment w:val="auto"/>
    </w:pPr>
    <w:rPr>
      <w:rFonts w:ascii="Times New Roman" w:hAnsi="Times New Roman"/>
      <w:sz w:val="24"/>
      <w:lang w:val="x-none" w:eastAsia="x-none"/>
    </w:rPr>
  </w:style>
  <w:style w:type="character" w:customStyle="1" w:styleId="Odstavec1Char">
    <w:name w:val="Odstavec 1. Char"/>
    <w:basedOn w:val="Standardnpsmoodstavce"/>
    <w:link w:val="Odstavec1"/>
    <w:rsid w:val="0097743A"/>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rsid w:val="00417B07"/>
    <w:pPr>
      <w:keepNext/>
      <w:tabs>
        <w:tab w:val="num" w:pos="720"/>
      </w:tabs>
      <w:autoSpaceDN/>
      <w:spacing w:before="360"/>
      <w:ind w:left="720" w:hanging="720"/>
      <w:jc w:val="center"/>
      <w:textAlignment w:val="auto"/>
    </w:pPr>
    <w:rPr>
      <w:rFonts w:ascii="Verdana" w:eastAsia="Calibri" w:hAnsi="Verdana"/>
      <w:b/>
      <w:sz w:val="28"/>
      <w:szCs w:val="28"/>
      <w:lang w:eastAsia="en-US"/>
    </w:rPr>
  </w:style>
  <w:style w:type="paragraph" w:customStyle="1" w:styleId="SSOdstavec">
    <w:name w:val="SS_Odstavec"/>
    <w:basedOn w:val="Normln"/>
    <w:qFormat/>
    <w:rsid w:val="00417B07"/>
    <w:pPr>
      <w:tabs>
        <w:tab w:val="left" w:pos="426"/>
        <w:tab w:val="num" w:pos="1440"/>
      </w:tabs>
      <w:autoSpaceDN/>
      <w:spacing w:before="120"/>
      <w:ind w:left="1440" w:hanging="720"/>
      <w:textAlignment w:val="auto"/>
    </w:pPr>
    <w:rPr>
      <w:rFonts w:ascii="Verdana" w:eastAsia="Calibri" w:hAnsi="Verdana"/>
      <w:szCs w:val="20"/>
      <w:lang w:eastAsia="en-US"/>
    </w:rPr>
  </w:style>
  <w:style w:type="paragraph" w:customStyle="1" w:styleId="SSBod">
    <w:name w:val="SS_Bod"/>
    <w:basedOn w:val="Normln"/>
    <w:qFormat/>
    <w:rsid w:val="00417B07"/>
    <w:pPr>
      <w:keepLines/>
      <w:numPr>
        <w:ilvl w:val="2"/>
        <w:numId w:val="20"/>
      </w:numPr>
      <w:tabs>
        <w:tab w:val="left" w:pos="851"/>
      </w:tabs>
      <w:autoSpaceDN/>
      <w:spacing w:before="120"/>
      <w:textAlignment w:val="auto"/>
    </w:pPr>
    <w:rPr>
      <w:rFonts w:ascii="Verdana" w:eastAsia="Calibri" w:hAnsi="Verdana"/>
      <w:szCs w:val="22"/>
      <w:lang w:eastAsia="en-US"/>
    </w:rPr>
  </w:style>
  <w:style w:type="paragraph" w:customStyle="1" w:styleId="SSPsmeno">
    <w:name w:val="SS_Písmeno"/>
    <w:basedOn w:val="Normln"/>
    <w:qFormat/>
    <w:rsid w:val="00417B07"/>
    <w:pPr>
      <w:numPr>
        <w:ilvl w:val="3"/>
        <w:numId w:val="20"/>
      </w:numPr>
      <w:tabs>
        <w:tab w:val="left" w:pos="1134"/>
      </w:tabs>
      <w:autoSpaceDN/>
      <w:spacing w:before="60"/>
      <w:textAlignment w:val="auto"/>
    </w:pPr>
    <w:rPr>
      <w:rFonts w:ascii="Verdana" w:eastAsia="Calibri" w:hAnsi="Verdana"/>
      <w:szCs w:val="22"/>
      <w:lang w:eastAsia="en-US"/>
    </w:rPr>
  </w:style>
  <w:style w:type="paragraph" w:customStyle="1" w:styleId="Popisekvtabulce">
    <w:name w:val="Popisek v tabulce"/>
    <w:basedOn w:val="Normln"/>
    <w:rsid w:val="00A13381"/>
    <w:pPr>
      <w:keepNext/>
      <w:autoSpaceDN/>
      <w:spacing w:before="120" w:after="120" w:line="240" w:lineRule="exact"/>
      <w:jc w:val="left"/>
      <w:textAlignment w:val="auto"/>
    </w:pPr>
    <w:rPr>
      <w:rFonts w:ascii="Verdana" w:hAnsi="Verdana"/>
      <w:caps/>
      <w:color w:val="7F7F83"/>
      <w:sz w:val="14"/>
    </w:rPr>
  </w:style>
  <w:style w:type="character" w:customStyle="1" w:styleId="Bold">
    <w:name w:val="Bold"/>
    <w:rsid w:val="00A13381"/>
    <w:rPr>
      <w:rFonts w:ascii="Verdana" w:hAnsi="Verdana"/>
      <w:b/>
    </w:rPr>
  </w:style>
  <w:style w:type="character" w:customStyle="1" w:styleId="Grey">
    <w:name w:val="Grey"/>
    <w:rsid w:val="00A13381"/>
    <w:rPr>
      <w:rFonts w:ascii="Verdana" w:hAnsi="Verdana"/>
      <w:color w:val="7F7F83"/>
    </w:rPr>
  </w:style>
  <w:style w:type="character" w:styleId="Siln">
    <w:name w:val="Strong"/>
    <w:basedOn w:val="Standardnpsmoodstavce"/>
    <w:uiPriority w:val="22"/>
    <w:qFormat/>
    <w:rsid w:val="001353CE"/>
    <w:rPr>
      <w:b/>
      <w:bCs/>
    </w:rPr>
  </w:style>
  <w:style w:type="character" w:customStyle="1" w:styleId="TextkomenteChar1">
    <w:name w:val="Text komentáře Char1"/>
    <w:uiPriority w:val="99"/>
    <w:locked/>
    <w:rsid w:val="00BE7EF5"/>
    <w:rPr>
      <w:rFonts w:ascii="Times New Roman" w:eastAsia="Times New Roman" w:hAnsi="Times New Roman" w:cs="Times New Roman"/>
      <w:sz w:val="20"/>
      <w:szCs w:val="20"/>
      <w:lang w:eastAsia="cs-CZ"/>
    </w:rPr>
  </w:style>
  <w:style w:type="paragraph" w:customStyle="1" w:styleId="Textodstavce">
    <w:name w:val="Text odstavce"/>
    <w:basedOn w:val="Normln"/>
    <w:uiPriority w:val="99"/>
    <w:rsid w:val="00BE7EF5"/>
    <w:pPr>
      <w:tabs>
        <w:tab w:val="num" w:pos="782"/>
        <w:tab w:val="left" w:pos="851"/>
        <w:tab w:val="num" w:pos="1440"/>
      </w:tabs>
      <w:autoSpaceDN/>
      <w:spacing w:before="120" w:after="120"/>
      <w:ind w:firstLine="425"/>
      <w:textAlignment w:val="auto"/>
      <w:outlineLvl w:val="6"/>
    </w:pPr>
    <w:rPr>
      <w:rFonts w:ascii="Times New Roman" w:hAnsi="Times New Roman"/>
      <w:sz w:val="24"/>
    </w:rPr>
  </w:style>
  <w:style w:type="paragraph" w:styleId="Titulek">
    <w:name w:val="caption"/>
    <w:basedOn w:val="Normln"/>
    <w:next w:val="Normln"/>
    <w:uiPriority w:val="35"/>
    <w:unhideWhenUsed/>
    <w:qFormat/>
    <w:rsid w:val="00BE7EF5"/>
    <w:pPr>
      <w:pBdr>
        <w:top w:val="nil"/>
        <w:left w:val="nil"/>
        <w:bottom w:val="nil"/>
        <w:right w:val="nil"/>
        <w:between w:val="nil"/>
        <w:bar w:val="nil"/>
      </w:pBdr>
      <w:autoSpaceDN/>
      <w:spacing w:after="200"/>
      <w:jc w:val="left"/>
      <w:textAlignment w:val="auto"/>
    </w:pPr>
    <w:rPr>
      <w:rFonts w:ascii="Courier New" w:eastAsia="Courier New" w:hAnsi="Courier New" w:cs="Courier New"/>
      <w:i/>
      <w:iCs/>
      <w:color w:val="1F497D" w:themeColor="text2"/>
      <w:sz w:val="18"/>
      <w:szCs w:val="18"/>
      <w:u w:color="000000"/>
      <w:bdr w:val="nil"/>
    </w:rPr>
  </w:style>
  <w:style w:type="paragraph" w:customStyle="1" w:styleId="tablebody0">
    <w:name w:val="tablebody"/>
    <w:basedOn w:val="Normln"/>
    <w:uiPriority w:val="99"/>
    <w:rsid w:val="003C1A39"/>
    <w:pPr>
      <w:autoSpaceDN/>
      <w:spacing w:before="100" w:beforeAutospacing="1" w:after="100" w:afterAutospacing="1"/>
      <w:jc w:val="left"/>
      <w:textAlignment w:val="auto"/>
    </w:pPr>
    <w:rPr>
      <w:rFonts w:ascii="Times New Roman" w:hAnsi="Times New Roman"/>
      <w:sz w:val="24"/>
      <w:lang w:val="en-US" w:eastAsia="en-US"/>
    </w:rPr>
  </w:style>
  <w:style w:type="character" w:styleId="Zdraznn">
    <w:name w:val="Emphasis"/>
    <w:basedOn w:val="Standardnpsmoodstavce"/>
    <w:uiPriority w:val="20"/>
    <w:qFormat/>
    <w:rsid w:val="00AF31D9"/>
    <w:rPr>
      <w:i/>
      <w:iCs/>
    </w:rPr>
  </w:style>
  <w:style w:type="numbering" w:customStyle="1" w:styleId="Aktulnseznam1">
    <w:name w:val="Aktuální seznam1"/>
    <w:uiPriority w:val="99"/>
    <w:rsid w:val="00B730A6"/>
  </w:style>
  <w:style w:type="numbering" w:customStyle="1" w:styleId="Styl1">
    <w:name w:val="Styl1"/>
    <w:uiPriority w:val="99"/>
    <w:rsid w:val="00F70C5F"/>
  </w:style>
  <w:style w:type="paragraph" w:customStyle="1" w:styleId="Styl2">
    <w:name w:val="Styl2"/>
    <w:basedOn w:val="Odstavecseseznamem"/>
    <w:link w:val="Styl2Char"/>
    <w:qFormat/>
    <w:rsid w:val="00F312B1"/>
    <w:pPr>
      <w:tabs>
        <w:tab w:val="num" w:pos="1440"/>
      </w:tabs>
      <w:ind w:left="1440" w:hanging="720"/>
    </w:pPr>
    <w:rPr>
      <w:rFonts w:cs="Arial"/>
      <w:b/>
      <w:szCs w:val="20"/>
    </w:rPr>
  </w:style>
  <w:style w:type="character" w:customStyle="1" w:styleId="Styl2Char">
    <w:name w:val="Styl2 Char"/>
    <w:basedOn w:val="OdstavecseseznamemChar"/>
    <w:link w:val="Styl2"/>
    <w:rsid w:val="00F312B1"/>
    <w:rPr>
      <w:rFonts w:ascii="Arial" w:eastAsia="Times New Roman" w:hAnsi="Arial" w:cs="Times New Roman"/>
      <w:b/>
      <w:sz w:val="20"/>
      <w:szCs w:val="24"/>
      <w:lang w:eastAsia="cs-CZ"/>
    </w:rPr>
  </w:style>
  <w:style w:type="paragraph" w:customStyle="1" w:styleId="bntext2rovn">
    <w:name w:val="běžný text 2. úrovně"/>
    <w:basedOn w:val="Normln"/>
    <w:link w:val="bntext2rovnChar"/>
    <w:rsid w:val="00CD7F84"/>
    <w:pPr>
      <w:keepLines/>
      <w:tabs>
        <w:tab w:val="num" w:pos="2160"/>
      </w:tabs>
      <w:autoSpaceDN/>
      <w:spacing w:after="140" w:line="280" w:lineRule="exact"/>
      <w:ind w:left="2160" w:hanging="720"/>
      <w:textAlignment w:val="auto"/>
      <w:outlineLvl w:val="2"/>
    </w:pPr>
    <w:rPr>
      <w:rFonts w:cs="Arial"/>
      <w:sz w:val="22"/>
    </w:rPr>
  </w:style>
  <w:style w:type="paragraph" w:customStyle="1" w:styleId="bntext3rovn">
    <w:name w:val="běžný text 3. úrovně"/>
    <w:basedOn w:val="Normln"/>
    <w:rsid w:val="00CD7F84"/>
    <w:pPr>
      <w:tabs>
        <w:tab w:val="num" w:pos="2880"/>
      </w:tabs>
      <w:autoSpaceDN/>
      <w:jc w:val="left"/>
      <w:textAlignment w:val="auto"/>
    </w:pPr>
    <w:rPr>
      <w:sz w:val="22"/>
    </w:rPr>
  </w:style>
  <w:style w:type="paragraph" w:customStyle="1" w:styleId="nadpis2rovn">
    <w:name w:val="nadpis 2. úrovně"/>
    <w:basedOn w:val="Normln"/>
    <w:next w:val="bntext3rovn"/>
    <w:rsid w:val="00CD7F84"/>
    <w:pPr>
      <w:keepNext/>
      <w:tabs>
        <w:tab w:val="num" w:pos="1440"/>
      </w:tabs>
      <w:autoSpaceDN/>
      <w:spacing w:after="140" w:line="240" w:lineRule="exact"/>
      <w:ind w:left="1440" w:hanging="720"/>
      <w:jc w:val="left"/>
      <w:textAlignment w:val="auto"/>
    </w:pPr>
    <w:rPr>
      <w:b/>
      <w:smallCaps/>
      <w:spacing w:val="20"/>
      <w:szCs w:val="20"/>
    </w:rPr>
  </w:style>
  <w:style w:type="character" w:customStyle="1" w:styleId="bntext2rovnChar">
    <w:name w:val="běžný text 2. úrovně Char"/>
    <w:basedOn w:val="Standardnpsmoodstavce"/>
    <w:link w:val="bntext2rovn"/>
    <w:locked/>
    <w:rsid w:val="00CD7F84"/>
    <w:rPr>
      <w:rFonts w:eastAsia="Times New Roman"/>
      <w:sz w:val="22"/>
      <w:szCs w:val="24"/>
    </w:rPr>
  </w:style>
  <w:style w:type="character" w:customStyle="1" w:styleId="bntextChar">
    <w:name w:val="běžný text Char"/>
    <w:basedOn w:val="Standardnpsmoodstavce"/>
    <w:link w:val="bntext"/>
    <w:locked/>
    <w:rsid w:val="002808B2"/>
    <w:rPr>
      <w:rFonts w:ascii="Arial" w:hAnsi="Arial" w:cs="Arial"/>
      <w:szCs w:val="24"/>
    </w:rPr>
  </w:style>
  <w:style w:type="paragraph" w:customStyle="1" w:styleId="bntext">
    <w:name w:val="běžný text"/>
    <w:basedOn w:val="Normln"/>
    <w:link w:val="bntextChar"/>
    <w:rsid w:val="002808B2"/>
    <w:pPr>
      <w:keepLines/>
      <w:autoSpaceDN/>
      <w:spacing w:after="140" w:line="280" w:lineRule="exact"/>
      <w:textAlignment w:val="auto"/>
    </w:pPr>
    <w:rPr>
      <w:rFonts w:eastAsiaTheme="minorHAnsi" w:cs="Arial"/>
      <w:sz w:val="22"/>
      <w:lang w:eastAsia="en-US"/>
    </w:rPr>
  </w:style>
  <w:style w:type="character" w:styleId="Nevyeenzmnka">
    <w:name w:val="Unresolved Mention"/>
    <w:basedOn w:val="Standardnpsmoodstavce"/>
    <w:uiPriority w:val="99"/>
    <w:semiHidden/>
    <w:unhideWhenUsed/>
    <w:rsid w:val="00BF25EA"/>
    <w:rPr>
      <w:color w:val="605E5C"/>
      <w:shd w:val="clear" w:color="auto" w:fill="E1DFDD"/>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top w:w="28" w:type="dxa"/>
        <w:left w:w="115" w:type="dxa"/>
        <w:bottom w:w="28" w:type="dxa"/>
        <w:right w:w="115" w:type="dxa"/>
      </w:tblCellMar>
    </w:tblPr>
  </w:style>
  <w:style w:type="table" w:customStyle="1" w:styleId="a0">
    <w:basedOn w:val="Normlntabulka"/>
    <w:tblPr>
      <w:tblStyleRowBandSize w:val="1"/>
      <w:tblStyleColBandSize w:val="1"/>
      <w:tblCellMar>
        <w:top w:w="28" w:type="dxa"/>
        <w:left w:w="115" w:type="dxa"/>
        <w:bottom w:w="28" w:type="dxa"/>
        <w:right w:w="115" w:type="dxa"/>
      </w:tblCellMar>
    </w:tblPr>
  </w:style>
  <w:style w:type="table" w:customStyle="1" w:styleId="a1">
    <w:basedOn w:val="Normlntabulka"/>
    <w:tblPr>
      <w:tblStyleRowBandSize w:val="1"/>
      <w:tblStyleColBandSize w:val="1"/>
      <w:tblCellMar>
        <w:top w:w="28" w:type="dxa"/>
        <w:left w:w="115" w:type="dxa"/>
        <w:bottom w:w="28" w:type="dxa"/>
        <w:right w:w="115" w:type="dxa"/>
      </w:tblCellMar>
    </w:tblPr>
  </w:style>
  <w:style w:type="table" w:customStyle="1" w:styleId="a2">
    <w:basedOn w:val="Normlntabulka"/>
    <w:tblPr>
      <w:tblStyleRowBandSize w:val="1"/>
      <w:tblStyleColBandSize w:val="1"/>
      <w:tblCellMar>
        <w:top w:w="28" w:type="dxa"/>
        <w:left w:w="115" w:type="dxa"/>
        <w:bottom w:w="28" w:type="dxa"/>
        <w:right w:w="115" w:type="dxa"/>
      </w:tblCellMar>
    </w:tblPr>
  </w:style>
  <w:style w:type="table" w:customStyle="1" w:styleId="a3">
    <w:basedOn w:val="Normlntabulka"/>
    <w:tblPr>
      <w:tblStyleRowBandSize w:val="1"/>
      <w:tblStyleColBandSize w:val="1"/>
      <w:tblCellMar>
        <w:left w:w="0" w:type="dxa"/>
        <w:right w:w="0" w:type="dxa"/>
      </w:tblCellMar>
    </w:tblPr>
  </w:style>
  <w:style w:type="table" w:customStyle="1" w:styleId="a4">
    <w:basedOn w:val="Normlntabulka"/>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1597">
      <w:bodyDiv w:val="1"/>
      <w:marLeft w:val="0"/>
      <w:marRight w:val="0"/>
      <w:marTop w:val="0"/>
      <w:marBottom w:val="0"/>
      <w:divBdr>
        <w:top w:val="none" w:sz="0" w:space="0" w:color="auto"/>
        <w:left w:val="none" w:sz="0" w:space="0" w:color="auto"/>
        <w:bottom w:val="none" w:sz="0" w:space="0" w:color="auto"/>
        <w:right w:val="none" w:sz="0" w:space="0" w:color="auto"/>
      </w:divBdr>
    </w:div>
    <w:div w:id="383333228">
      <w:bodyDiv w:val="1"/>
      <w:marLeft w:val="0"/>
      <w:marRight w:val="0"/>
      <w:marTop w:val="0"/>
      <w:marBottom w:val="0"/>
      <w:divBdr>
        <w:top w:val="none" w:sz="0" w:space="0" w:color="auto"/>
        <w:left w:val="none" w:sz="0" w:space="0" w:color="auto"/>
        <w:bottom w:val="none" w:sz="0" w:space="0" w:color="auto"/>
        <w:right w:val="none" w:sz="0" w:space="0" w:color="auto"/>
      </w:divBdr>
    </w:div>
    <w:div w:id="437725353">
      <w:bodyDiv w:val="1"/>
      <w:marLeft w:val="0"/>
      <w:marRight w:val="0"/>
      <w:marTop w:val="0"/>
      <w:marBottom w:val="0"/>
      <w:divBdr>
        <w:top w:val="none" w:sz="0" w:space="0" w:color="auto"/>
        <w:left w:val="none" w:sz="0" w:space="0" w:color="auto"/>
        <w:bottom w:val="none" w:sz="0" w:space="0" w:color="auto"/>
        <w:right w:val="none" w:sz="0" w:space="0" w:color="auto"/>
      </w:divBdr>
    </w:div>
    <w:div w:id="589050427">
      <w:bodyDiv w:val="1"/>
      <w:marLeft w:val="0"/>
      <w:marRight w:val="0"/>
      <w:marTop w:val="0"/>
      <w:marBottom w:val="0"/>
      <w:divBdr>
        <w:top w:val="none" w:sz="0" w:space="0" w:color="auto"/>
        <w:left w:val="none" w:sz="0" w:space="0" w:color="auto"/>
        <w:bottom w:val="none" w:sz="0" w:space="0" w:color="auto"/>
        <w:right w:val="none" w:sz="0" w:space="0" w:color="auto"/>
      </w:divBdr>
    </w:div>
    <w:div w:id="998539076">
      <w:bodyDiv w:val="1"/>
      <w:marLeft w:val="0"/>
      <w:marRight w:val="0"/>
      <w:marTop w:val="0"/>
      <w:marBottom w:val="0"/>
      <w:divBdr>
        <w:top w:val="none" w:sz="0" w:space="0" w:color="auto"/>
        <w:left w:val="none" w:sz="0" w:space="0" w:color="auto"/>
        <w:bottom w:val="none" w:sz="0" w:space="0" w:color="auto"/>
        <w:right w:val="none" w:sz="0" w:space="0" w:color="auto"/>
      </w:divBdr>
    </w:div>
    <w:div w:id="1827891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roslav.nevidal@vzp.cz" TargetMode="External"/><Relationship Id="rId18" Type="http://schemas.openxmlformats.org/officeDocument/2006/relationships/hyperlink" Target="mailto:miroslav.nevidal@vzp.cz" TargetMode="External"/><Relationship Id="rId26" Type="http://schemas.openxmlformats.org/officeDocument/2006/relationships/hyperlink" Target="http://www.opentext.com/agreement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yperlink" Target="http://www.opentext.com/agreements" TargetMode="External"/><Relationship Id="rId7" Type="http://schemas.openxmlformats.org/officeDocument/2006/relationships/styles" Target="styles.xml"/><Relationship Id="rId12" Type="http://schemas.openxmlformats.org/officeDocument/2006/relationships/hyperlink" Target="mailto:miroslav.nevidal@vzp.cz" TargetMode="External"/><Relationship Id="rId17" Type="http://schemas.openxmlformats.org/officeDocument/2006/relationships/hyperlink" Target="mailto:miroslav.nevidal@vzp.cz" TargetMode="External"/><Relationship Id="rId25" Type="http://schemas.openxmlformats.org/officeDocument/2006/relationships/hyperlink" Target="http://www.opentext.com/agreements" TargetMode="External"/><Relationship Id="rId33" Type="http://schemas.openxmlformats.org/officeDocument/2006/relationships/hyperlink" Target="http://www.opentext.com/agreemen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roslav.nevidal@vzp.cz" TargetMode="External"/><Relationship Id="rId20" Type="http://schemas.openxmlformats.org/officeDocument/2006/relationships/hyperlink" Target="https://www.opentext.com/file_source/OpenText/en_US/PDF/End%20User%20License%20Agreement%20EULA%20Benelux.pdf" TargetMode="External"/><Relationship Id="rId29" Type="http://schemas.openxmlformats.org/officeDocument/2006/relationships/hyperlink" Target="http://www.opentext.com/agree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miroslav.nevidal@vzp.cz" TargetMode="External"/><Relationship Id="rId24" Type="http://schemas.openxmlformats.org/officeDocument/2006/relationships/hyperlink" Target="http://www.wipo.int/pct/en/)" TargetMode="External"/><Relationship Id="rId32" Type="http://schemas.openxmlformats.org/officeDocument/2006/relationships/hyperlink" Target="http://www.opentext.com/agreements%3B" TargetMode="External"/><Relationship Id="rId37" Type="http://schemas.openxmlformats.org/officeDocument/2006/relationships/hyperlink" Target="http://www.opentext.com/agreements" TargetMode="External"/><Relationship Id="rId5" Type="http://schemas.openxmlformats.org/officeDocument/2006/relationships/customXml" Target="../customXml/item5.xml"/><Relationship Id="rId15" Type="http://schemas.openxmlformats.org/officeDocument/2006/relationships/hyperlink" Target="mailto:miroslav.nevidal@vzp.cz" TargetMode="External"/><Relationship Id="rId23" Type="http://schemas.openxmlformats.org/officeDocument/2006/relationships/hyperlink" Target="http://www.wipo.int/pct/en/)" TargetMode="External"/><Relationship Id="rId28" Type="http://schemas.openxmlformats.org/officeDocument/2006/relationships/hyperlink" Target="http://www.opentext.com/agreements" TargetMode="External"/><Relationship Id="rId36" Type="http://schemas.openxmlformats.org/officeDocument/2006/relationships/hyperlink" Target="http://www.opentext.com/agreements" TargetMode="External"/><Relationship Id="rId10" Type="http://schemas.openxmlformats.org/officeDocument/2006/relationships/hyperlink" Target="mailto:podatelna@vzp.cz" TargetMode="External"/><Relationship Id="rId19" Type="http://schemas.openxmlformats.org/officeDocument/2006/relationships/hyperlink" Target="mailto:miroslav.nevidal@vzp.cz" TargetMode="External"/><Relationship Id="rId31" Type="http://schemas.openxmlformats.org/officeDocument/2006/relationships/hyperlink" Target="http://www.opentext.com/agreements%3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roslav.nevidal@vzp.cz" TargetMode="External"/><Relationship Id="rId22" Type="http://schemas.openxmlformats.org/officeDocument/2006/relationships/image" Target="media/image2.png"/><Relationship Id="rId27" Type="http://schemas.openxmlformats.org/officeDocument/2006/relationships/hyperlink" Target="http://www.opentext.com/agreements" TargetMode="External"/><Relationship Id="rId30" Type="http://schemas.openxmlformats.org/officeDocument/2006/relationships/hyperlink" Target="http://www.opentext.com/agreements" TargetMode="External"/><Relationship Id="rId35" Type="http://schemas.openxmlformats.org/officeDocument/2006/relationships/hyperlink" Target="http://www.opentext.com/agreement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Tl6PVYWL94zkwVsxYInFY5KCO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TRELUloZXZPXzhGVTdyV3RjcUxJUmhfNGpnejZWcVVo</go:docsCustomData>
</go:gDocsCustomXmlDataStorage>
</file>

<file path=customXml/itemProps1.xml><?xml version="1.0" encoding="utf-8"?>
<ds:datastoreItem xmlns:ds="http://schemas.openxmlformats.org/officeDocument/2006/customXml" ds:itemID="{F5F62BD9-BBD0-4ABE-991A-C4A27256D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C85B5-C023-4A07-9F8A-7B00BFDC5B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460666-7262-4787-8837-07B918938285}">
  <ds:schemaRefs>
    <ds:schemaRef ds:uri="http://schemas.openxmlformats.org/officeDocument/2006/bibliography"/>
  </ds:schemaRefs>
</ds:datastoreItem>
</file>

<file path=customXml/itemProps4.xml><?xml version="1.0" encoding="utf-8"?>
<ds:datastoreItem xmlns:ds="http://schemas.openxmlformats.org/officeDocument/2006/customXml" ds:itemID="{0E77EE5D-7F1B-4356-B351-EDFD5980497A}">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10575</Words>
  <Characters>62399</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Boušková Eliška JUDr. (VZP ČR Ústředí)</dc:creator>
  <cp:lastModifiedBy>Tonar Lenka Bc. (VZP ČR Ústředí)</cp:lastModifiedBy>
  <cp:revision>3</cp:revision>
  <cp:lastPrinted>2024-11-28T11:05:00Z</cp:lastPrinted>
  <dcterms:created xsi:type="dcterms:W3CDTF">2025-01-10T14:13:00Z</dcterms:created>
  <dcterms:modified xsi:type="dcterms:W3CDTF">2025-01-10T14:14:00Z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