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left="0" w:firstLine="0"/>
        <w:jc w:val="right"/>
      </w:pPr>
      <w:bookmarkStart w:id="0" w:name="bookmark0"/>
      <w:r>
        <w:rPr>
          <w:rStyle w:val="CharStyle3"/>
        </w:rPr>
        <w:t>llllllllllllllllillil</w:t>
      </w:r>
      <w:bookmarkEnd w:id="0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440" w:firstLine="0"/>
        <w:jc w:val="right"/>
        <w:rPr>
          <w:sz w:val="16"/>
          <w:szCs w:val="16"/>
        </w:rPr>
      </w:pPr>
      <w:r>
        <w:rPr>
          <w:rStyle w:val="CharStyle8"/>
          <w:sz w:val="16"/>
          <w:szCs w:val="16"/>
        </w:rPr>
        <w:t>2025000232</w:t>
      </w:r>
    </w:p>
    <w:p>
      <w:pPr>
        <w:pStyle w:val="Style10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220" w:line="240" w:lineRule="auto"/>
        <w:ind w:left="0" w:right="0" w:firstLine="0"/>
        <w:jc w:val="center"/>
        <w:rPr>
          <w:sz w:val="20"/>
          <w:szCs w:val="20"/>
        </w:rPr>
      </w:pPr>
      <w:r>
        <w:rPr>
          <w:rStyle w:val="CharStyle11"/>
          <w:b/>
          <w:bCs/>
          <w:sz w:val="20"/>
          <w:szCs w:val="20"/>
        </w:rPr>
        <w:t>Dodatek Č</w:t>
      </w:r>
      <w:r>
        <w:rPr>
          <w:rStyle w:val="CharStyle11"/>
          <w:b/>
          <w:bCs/>
          <w:sz w:val="20"/>
          <w:szCs w:val="20"/>
          <w:vertAlign w:val="subscript"/>
        </w:rPr>
        <w:t>:</w:t>
      </w:r>
      <w:r>
        <w:rPr>
          <w:rStyle w:val="CharStyle11"/>
          <w:b/>
          <w:bCs/>
          <w:sz w:val="20"/>
          <w:szCs w:val="20"/>
        </w:rPr>
        <w:t xml:space="preserve"> </w:t>
      </w:r>
      <w:r>
        <w:rPr>
          <w:rStyle w:val="CharStyle11"/>
          <w:b/>
          <w:bCs/>
          <w:i/>
          <w:iCs/>
          <w:sz w:val="20"/>
          <w:szCs w:val="20"/>
        </w:rPr>
        <w:t>2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center"/>
      </w:pPr>
      <w:r>
        <w:rPr>
          <w:rStyle w:val="CharStyle11"/>
        </w:rPr>
        <w:t>k Rámcové kupní smlouvě ze dne 07. 10. 2024 uzavřené podle ustanovení § 2079 a násl. zákona č.</w:t>
        <w:br/>
        <w:t>89/2012 Sb. občanského zákoníku (dále jen „smlouva") uzavřený mezi</w:t>
      </w:r>
    </w:p>
    <w:tbl>
      <w:tblPr>
        <w:tblOverlap w:val="never"/>
        <w:jc w:val="left"/>
        <w:tblLayout w:type="fixed"/>
      </w:tblPr>
      <w:tblGrid>
        <w:gridCol w:w="2117"/>
        <w:gridCol w:w="6029"/>
      </w:tblGrid>
      <w:tr>
        <w:trPr>
          <w:trHeight w:val="49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Jméno: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640" w:right="0" w:firstLine="0"/>
              <w:jc w:val="left"/>
            </w:pPr>
            <w:r>
              <w:rPr>
                <w:rStyle w:val="CharStyle15"/>
                <w:b/>
                <w:bCs/>
              </w:rPr>
              <w:t>Zdravotnická záchranná služba Jihomoravského kraje, příspěvková organizace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Sídlo: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rStyle w:val="CharStyle15"/>
              </w:rPr>
              <w:t>Kamenice 798/1 d. 625 00 Brno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Jednající: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rStyle w:val="CharStyle15"/>
              </w:rPr>
              <w:t>MUDr. Hana Albrechtová, ředitelka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Kontaktní osoba: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rStyle w:val="CharStyle15"/>
                <w:spacing w:val="10"/>
                <w:shd w:val="clear" w:color="auto" w:fill="000000"/>
              </w:rPr>
              <w:t>.</w:t>
            </w:r>
            <w:r>
              <w:rPr>
                <w:rStyle w:val="CharStyle15"/>
                <w:spacing w:val="11"/>
                <w:shd w:val="clear" w:color="auto" w:fill="000000"/>
              </w:rPr>
              <w:t>.</w:t>
            </w:r>
            <w:r>
              <w:rPr>
                <w:rStyle w:val="CharStyle15"/>
                <w:spacing w:val="2"/>
                <w:shd w:val="clear" w:color="auto" w:fill="000000"/>
              </w:rPr>
              <w:t>.......</w:t>
            </w:r>
            <w:r>
              <w:rPr>
                <w:rStyle w:val="CharStyle15"/>
                <w:spacing w:val="3"/>
                <w:shd w:val="clear" w:color="auto" w:fill="000000"/>
              </w:rPr>
              <w:t>..</w:t>
            </w:r>
            <w:r>
              <w:rPr>
                <w:rStyle w:val="CharStyle15"/>
                <w:shd w:val="clear" w:color="auto" w:fill="000000"/>
              </w:rPr>
              <w:t>​</w:t>
            </w:r>
            <w:r>
              <w:rPr>
                <w:rStyle w:val="CharStyle15"/>
                <w:spacing w:val="1"/>
                <w:shd w:val="clear" w:color="auto" w:fill="000000"/>
              </w:rPr>
              <w:t>.........</w:t>
            </w:r>
            <w:r>
              <w:rPr>
                <w:rStyle w:val="CharStyle15"/>
                <w:spacing w:val="2"/>
                <w:shd w:val="clear" w:color="auto" w:fill="000000"/>
              </w:rPr>
              <w:t>.....</w:t>
            </w:r>
            <w:r>
              <w:rPr>
                <w:rStyle w:val="CharStyle15"/>
                <w:shd w:val="clear" w:color="auto" w:fill="000000"/>
              </w:rPr>
              <w:t>​</w:t>
            </w:r>
            <w:r>
              <w:rPr>
                <w:rStyle w:val="CharStyle15"/>
                <w:spacing w:val="3"/>
                <w:shd w:val="clear" w:color="auto" w:fill="000000"/>
              </w:rPr>
              <w:t>..</w:t>
            </w:r>
            <w:r>
              <w:rPr>
                <w:rStyle w:val="CharStyle15"/>
                <w:spacing w:val="4"/>
                <w:shd w:val="clear" w:color="auto" w:fill="000000"/>
              </w:rPr>
              <w:t>.</w:t>
            </w:r>
            <w:r>
              <w:rPr>
                <w:rStyle w:val="CharStyle15"/>
                <w:shd w:val="clear" w:color="auto" w:fill="000000"/>
              </w:rPr>
              <w:t>​</w:t>
            </w:r>
            <w:r>
              <w:rPr>
                <w:rStyle w:val="CharStyle15"/>
                <w:spacing w:val="3"/>
                <w:shd w:val="clear" w:color="auto" w:fill="000000"/>
              </w:rPr>
              <w:t>..</w:t>
            </w:r>
            <w:r>
              <w:rPr>
                <w:rStyle w:val="CharStyle15"/>
                <w:spacing w:val="4"/>
                <w:shd w:val="clear" w:color="auto" w:fill="000000"/>
              </w:rPr>
              <w:t>......</w:t>
            </w:r>
            <w:r>
              <w:rPr>
                <w:rStyle w:val="CharStyle15"/>
                <w:shd w:val="clear" w:color="auto" w:fill="000000"/>
                <w:lang w:val="en-US" w:eastAsia="en-US" w:bidi="en-US"/>
              </w:rPr>
              <w:t>​...........................</w:t>
            </w:r>
            <w:r>
              <w:rPr>
                <w:rStyle w:val="CharStyle15"/>
                <w:spacing w:val="1"/>
                <w:shd w:val="clear" w:color="auto" w:fill="000000"/>
                <w:lang w:val="en-US" w:eastAsia="en-US" w:bidi="en-US"/>
              </w:rPr>
              <w:t>......</w:t>
            </w:r>
            <w:r>
              <w:rPr>
                <w:rStyle w:val="CharStyle15"/>
                <w:shd w:val="clear" w:color="auto" w:fill="000000"/>
                <w:lang w:val="en-US" w:eastAsia="en-US" w:bidi="en-US"/>
              </w:rPr>
              <w:t>..</w:t>
            </w:r>
            <w:r>
              <w:rPr>
                <w:rStyle w:val="CharStyle15"/>
                <w:shd w:val="clear" w:color="auto" w:fill="000000"/>
              </w:rPr>
              <w:t>​</w:t>
            </w:r>
            <w:r>
              <w:rPr>
                <w:rStyle w:val="CharStyle15"/>
                <w:spacing w:val="8"/>
                <w:shd w:val="clear" w:color="auto" w:fill="000000"/>
              </w:rPr>
              <w:t>...</w:t>
            </w:r>
            <w:r>
              <w:rPr>
                <w:rStyle w:val="CharStyle15"/>
                <w:spacing w:val="9"/>
                <w:shd w:val="clear" w:color="auto" w:fill="000000"/>
              </w:rPr>
              <w:t>..</w:t>
            </w:r>
            <w:r>
              <w:rPr>
                <w:rStyle w:val="CharStyle15"/>
                <w:shd w:val="clear" w:color="auto" w:fill="000000"/>
              </w:rPr>
              <w:t>​.......​</w:t>
            </w:r>
            <w:r>
              <w:rPr>
                <w:rStyle w:val="CharStyle15"/>
                <w:spacing w:val="6"/>
                <w:shd w:val="clear" w:color="auto" w:fill="000000"/>
              </w:rPr>
              <w:t>...</w:t>
            </w:r>
            <w:r>
              <w:rPr>
                <w:rStyle w:val="CharStyle15"/>
                <w:spacing w:val="7"/>
                <w:shd w:val="clear" w:color="auto" w:fill="000000"/>
              </w:rPr>
              <w:t>...</w:t>
            </w:r>
            <w:r>
              <w:rPr>
                <w:rStyle w:val="CharStyle15"/>
                <w:shd w:val="clear" w:color="auto" w:fill="000000"/>
              </w:rPr>
              <w:t>​......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IČO: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rStyle w:val="CharStyle15"/>
              </w:rPr>
              <w:t>00346292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DIČ: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rStyle w:val="CharStyle15"/>
              </w:rPr>
              <w:t>OZ00346292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Zápis v OR: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rStyle w:val="CharStyle15"/>
              </w:rPr>
              <w:t>Krajský soud v Brně sp. zn. Pr 1245</w:t>
            </w:r>
          </w:p>
        </w:tc>
      </w:tr>
    </w:tbl>
    <w:p>
      <w:pPr>
        <w:widowControl w:val="0"/>
        <w:spacing w:after="219" w:line="1" w:lineRule="exact"/>
      </w:pP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rStyle w:val="CharStyle11"/>
        </w:rPr>
        <w:t xml:space="preserve">(dále jen </w:t>
      </w:r>
      <w:r>
        <w:rPr>
          <w:rStyle w:val="CharStyle11"/>
          <w:b/>
          <w:bCs/>
          <w:i/>
          <w:iCs/>
        </w:rPr>
        <w:t>„kupující )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rStyle w:val="CharStyle11"/>
        </w:rPr>
        <w:t>a</w:t>
      </w:r>
    </w:p>
    <w:tbl>
      <w:tblPr>
        <w:tblOverlap w:val="never"/>
        <w:jc w:val="left"/>
        <w:tblLayout w:type="fixed"/>
      </w:tblPr>
      <w:tblGrid>
        <w:gridCol w:w="2122"/>
        <w:gridCol w:w="4416"/>
      </w:tblGrid>
      <w:tr>
        <w:trPr>
          <w:trHeight w:val="23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Jméno: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5"/>
                <w:b/>
                <w:bCs/>
              </w:rPr>
              <w:t>INSET, spol. s.r.o.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Sídlo: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5"/>
              </w:rPr>
              <w:t>Sadská 603/10, 198 00 Praha 9 - Hloubětín</w:t>
            </w:r>
          </w:p>
        </w:tc>
      </w:tr>
      <w:tr>
        <w:trPr>
          <w:trHeight w:val="49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Jednající: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Kontaktní osoba: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640"/>
              <w:jc w:val="both"/>
            </w:pPr>
            <w:r>
              <w:rPr>
                <w:rStyle w:val="CharStyle15"/>
              </w:rPr>
              <w:t>Ing. Jiří Vaněk - jednatel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5"/>
                <w:shd w:val="clear" w:color="auto" w:fill="000000"/>
              </w:rPr>
              <w:t>.......​</w:t>
            </w:r>
            <w:r>
              <w:rPr>
                <w:rStyle w:val="CharStyle15"/>
                <w:spacing w:val="8"/>
                <w:shd w:val="clear" w:color="auto" w:fill="000000"/>
              </w:rPr>
              <w:t>....</w:t>
            </w:r>
            <w:r>
              <w:rPr>
                <w:rStyle w:val="CharStyle15"/>
                <w:spacing w:val="9"/>
                <w:shd w:val="clear" w:color="auto" w:fill="000000"/>
              </w:rPr>
              <w:t>.</w:t>
            </w:r>
            <w:r>
              <w:rPr>
                <w:rStyle w:val="CharStyle15"/>
                <w:shd w:val="clear" w:color="auto" w:fill="000000"/>
              </w:rPr>
              <w:t>​</w:t>
            </w:r>
            <w:r>
              <w:rPr>
                <w:rStyle w:val="CharStyle15"/>
                <w:spacing w:val="5"/>
                <w:shd w:val="clear" w:color="auto" w:fill="000000"/>
              </w:rPr>
              <w:t>.....</w:t>
            </w:r>
            <w:r>
              <w:rPr>
                <w:rStyle w:val="CharStyle15"/>
                <w:spacing w:val="6"/>
                <w:shd w:val="clear" w:color="auto" w:fill="000000"/>
              </w:rPr>
              <w:t>....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IČO: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5"/>
              </w:rPr>
              <w:t>16191072</w:t>
            </w:r>
          </w:p>
        </w:tc>
      </w:tr>
      <w:tr>
        <w:trPr>
          <w:trHeight w:val="51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sz w:val="18"/>
                <w:szCs w:val="18"/>
              </w:rPr>
              <w:t>DIČ-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Zápis v OR: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64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sz w:val="18"/>
                <w:szCs w:val="18"/>
              </w:rPr>
              <w:t>0718191072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5"/>
              </w:rPr>
              <w:t>Městský soud v Praze, oddíl 4, vložka 1412</w:t>
            </w:r>
          </w:p>
        </w:tc>
      </w:tr>
    </w:tbl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" w:right="0" w:firstLine="0"/>
        <w:jc w:val="left"/>
      </w:pPr>
      <w:r>
        <w:rPr>
          <w:rStyle w:val="CharStyle30"/>
        </w:rPr>
        <w:t xml:space="preserve">(dále jen </w:t>
      </w:r>
      <w:r>
        <w:rPr>
          <w:rStyle w:val="CharStyle30"/>
          <w:b/>
          <w:bCs/>
          <w:i/>
          <w:iCs/>
        </w:rPr>
        <w:t>„prodávající )</w:t>
      </w:r>
    </w:p>
    <w:p>
      <w:pPr>
        <w:widowControl w:val="0"/>
        <w:spacing w:after="979" w:line="1" w:lineRule="exact"/>
      </w:pPr>
    </w:p>
    <w:p>
      <w:pPr>
        <w:pStyle w:val="Style34"/>
        <w:keepNext/>
        <w:keepLines/>
        <w:widowControl w:val="0"/>
        <w:numPr>
          <w:ilvl w:val="0"/>
          <w:numId w:val="1"/>
        </w:numPr>
        <w:shd w:val="clear" w:color="auto" w:fill="auto"/>
        <w:bidi w:val="0"/>
        <w:spacing w:before="0" w:after="220" w:line="276" w:lineRule="auto"/>
        <w:ind w:left="0" w:right="0" w:firstLine="0"/>
        <w:jc w:val="center"/>
      </w:pPr>
      <w:bookmarkStart w:id="2" w:name="bookmark2"/>
      <w:bookmarkEnd w:id="2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00" w:line="276" w:lineRule="auto"/>
        <w:ind w:left="0" w:right="0" w:firstLine="0"/>
        <w:jc w:val="left"/>
      </w:pPr>
      <w:r>
        <w:rPr>
          <w:rStyle w:val="CharStyle11"/>
        </w:rPr>
        <w:t>ČI. 1 smlouvy se mění a nadále zní takto: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</w:pPr>
      <w:r>
        <w:rPr>
          <w:rStyle w:val="CharStyle11"/>
        </w:rPr>
        <w:t xml:space="preserve">Prodávající je oprávněn na základě svého vlastnického práva nakládat se zbožím ve formě </w:t>
      </w:r>
      <w:r>
        <w:rPr>
          <w:rStyle w:val="CharStyle11"/>
          <w:b/>
          <w:bCs/>
        </w:rPr>
        <w:t>EKG záznamového papíru XS1230MPA Papír 106x22 - Corpuls.</w:t>
      </w:r>
    </w:p>
    <w:p>
      <w:pPr>
        <w:pStyle w:val="Style34"/>
        <w:keepNext/>
        <w:keepLines/>
        <w:widowControl w:val="0"/>
        <w:numPr>
          <w:ilvl w:val="0"/>
          <w:numId w:val="1"/>
        </w:numPr>
        <w:shd w:val="clear" w:color="auto" w:fill="auto"/>
        <w:bidi w:val="0"/>
        <w:spacing w:before="0" w:line="276" w:lineRule="auto"/>
        <w:ind w:left="0" w:right="0" w:firstLine="0"/>
        <w:jc w:val="center"/>
      </w:pPr>
      <w:bookmarkStart w:id="4" w:name="bookmark4"/>
      <w:bookmarkEnd w:id="4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560" w:line="276" w:lineRule="auto"/>
        <w:ind w:left="0" w:right="0" w:firstLine="0"/>
        <w:jc w:val="both"/>
      </w:pPr>
      <w:r>
        <w:rPr>
          <w:rStyle w:val="CharStyle11"/>
        </w:rPr>
        <w:t xml:space="preserve">Kupující se zavazuje zaplatit prodávajícímu za předmět koupě a prodeje podle čl. 1 této smlouvy kupní cenu ve výši součinu počtu odebraných jednotek příslušného zboží a jednotkových cen tohoto zboží: </w:t>
      </w:r>
      <w:r>
        <w:rPr>
          <w:rStyle w:val="CharStyle11"/>
          <w:b/>
          <w:bCs/>
        </w:rPr>
        <w:t xml:space="preserve">26,79 Kč bez DPH a daň z přidané hodnoty ve výši podle příslušných právních předpisů. </w:t>
      </w:r>
      <w:r>
        <w:rPr>
          <w:rStyle w:val="CharStyle11"/>
        </w:rPr>
        <w:t>Součástí těchto cen jsou veškeré náklady prodávajícího na splnění jeho závazku k dodání zboží podle této smlouvy. Výše uvedené ceny se prodávající zavazuje garantovat po dobu podle čl. 21 této smlouvy. Změna ceny je možná pouze v případě zákonné změny sazby DPH.</w:t>
      </w:r>
    </w:p>
    <w:p>
      <w:pPr>
        <w:pStyle w:val="Style34"/>
        <w:keepNext/>
        <w:keepLines/>
        <w:widowControl w:val="0"/>
        <w:numPr>
          <w:ilvl w:val="0"/>
          <w:numId w:val="1"/>
        </w:numPr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6" w:name="bookmark6"/>
      <w:bookmarkEnd w:id="6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both"/>
      </w:pPr>
      <w:r>
        <w:rPr>
          <w:rStyle w:val="CharStyle11"/>
        </w:rPr>
        <w:t>Ostatní ujednání smlouvy nejsou tímto dodatkem nijak dotčena.</w:t>
      </w:r>
    </w:p>
    <w:p>
      <w:pPr>
        <w:pStyle w:val="Style34"/>
        <w:keepNext/>
        <w:keepLines/>
        <w:widowControl w:val="0"/>
        <w:numPr>
          <w:ilvl w:val="0"/>
          <w:numId w:val="1"/>
        </w:numPr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8" w:name="bookmark8"/>
      <w:bookmarkEnd w:id="8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both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0" w:h="16840"/>
          <w:pgMar w:top="387" w:right="1569" w:bottom="1141" w:left="1456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rStyle w:val="CharStyle11"/>
        </w:rPr>
        <w:t>Tento dodatek nabývá účinnosti dnem jeho uzavření.</w:t>
      </w:r>
    </w:p>
    <w:p>
      <w:pPr>
        <w:pStyle w:val="Style37"/>
        <w:keepNext/>
        <w:keepLines/>
        <w:framePr w:w="8851" w:h="1085" w:wrap="none" w:hAnchor="page" w:x="1528" w:y="1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0" w:name="bookmark10"/>
      <w:r>
        <w:rPr>
          <w:rStyle w:val="CharStyle38"/>
        </w:rPr>
        <w:t>v.</w:t>
      </w:r>
      <w:bookmarkEnd w:id="10"/>
    </w:p>
    <w:p>
      <w:pPr>
        <w:pStyle w:val="Style10"/>
        <w:keepNext w:val="0"/>
        <w:keepLines w:val="0"/>
        <w:framePr w:w="8851" w:h="1085" w:wrap="none" w:hAnchor="page" w:x="152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11"/>
        </w:rPr>
        <w:t>Tento dodatek se vyhotovuje ve dvou stejnopisech s platností originálu, z nichž každá ze smluvních stran obdrží jedno vyhotovení. V případě, že je tento dodatek uzavřen elektronickými prostředky, obdrží každá smluvní strana jeden identický elektronický soubor.</w:t>
      </w:r>
    </w:p>
    <w:p>
      <w:pPr>
        <w:pStyle w:val="Style10"/>
        <w:keepNext w:val="0"/>
        <w:keepLines w:val="0"/>
        <w:framePr w:w="1752" w:h="235" w:wrap="none" w:hAnchor="page" w:x="1528" w:y="1743"/>
        <w:widowControl w:val="0"/>
        <w:shd w:val="clear" w:color="auto" w:fill="auto"/>
        <w:tabs>
          <w:tab w:leader="dot" w:pos="169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11"/>
        </w:rPr>
        <w:t>V Brně dne</w:t>
        <w:tab/>
      </w:r>
    </w:p>
    <w:p>
      <w:pPr>
        <w:pStyle w:val="Style10"/>
        <w:keepNext w:val="0"/>
        <w:keepLines w:val="0"/>
        <w:framePr w:w="2558" w:h="245" w:wrap="none" w:hAnchor="page" w:x="6587" w:y="17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1"/>
        </w:rPr>
        <w:t>V Praze dne [bude doplněno]</w:t>
      </w:r>
    </w:p>
    <w:p>
      <w:pPr>
        <w:pStyle w:val="Style7"/>
        <w:keepNext w:val="0"/>
        <w:keepLines w:val="0"/>
        <w:framePr w:w="3571" w:h="1810" w:wrap="none" w:hAnchor="page" w:x="1274" w:y="2531"/>
        <w:widowControl w:val="0"/>
        <w:shd w:val="clear" w:color="auto" w:fill="auto"/>
        <w:bidi w:val="0"/>
        <w:spacing w:before="0" w:after="60" w:line="122" w:lineRule="auto"/>
        <w:ind w:left="0" w:right="0" w:firstLine="0"/>
        <w:jc w:val="left"/>
      </w:pPr>
      <w:r>
        <w:rPr>
          <w:rStyle w:val="CharStyle8"/>
          <w:sz w:val="26"/>
          <w:szCs w:val="26"/>
        </w:rPr>
        <w:t xml:space="preserve">R/ll in^ l-lon^ </w:t>
      </w:r>
      <w:r>
        <w:rPr>
          <w:rStyle w:val="CharStyle8"/>
        </w:rPr>
        <w:t xml:space="preserve">Digitálněpodepsal </w:t>
      </w:r>
      <w:r>
        <w:rPr>
          <w:rStyle w:val="CharStyle8"/>
          <w:sz w:val="26"/>
          <w:szCs w:val="26"/>
        </w:rPr>
        <w:t xml:space="preserve">MU DL Hana </w:t>
      </w:r>
      <w:r>
        <w:rPr>
          <w:rStyle w:val="CharStyle8"/>
        </w:rPr>
        <w:t>MUDr. Hana Albrechtová</w:t>
      </w:r>
    </w:p>
    <w:p>
      <w:pPr>
        <w:pStyle w:val="Style40"/>
        <w:keepNext/>
        <w:keepLines/>
        <w:framePr w:w="3571" w:h="1810" w:wrap="none" w:hAnchor="page" w:x="1274" w:y="2531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12" w:name="bookmark12"/>
      <w:r>
        <w:rPr>
          <w:rStyle w:val="CharStyle41"/>
        </w:rPr>
        <w:t>Albrechtová”?™</w:t>
      </w:r>
      <w:r>
        <w:rPr>
          <w:rStyle w:val="CharStyle41"/>
          <w:vertAlign w:val="superscript"/>
        </w:rPr>
        <w:t>0</w:t>
      </w:r>
      <w:bookmarkEnd w:id="12"/>
    </w:p>
    <w:p>
      <w:pPr>
        <w:pStyle w:val="Style10"/>
        <w:keepNext w:val="0"/>
        <w:keepLines w:val="0"/>
        <w:framePr w:w="3571" w:h="1810" w:wrap="none" w:hAnchor="page" w:x="1274" w:y="2531"/>
        <w:widowControl w:val="0"/>
        <w:shd w:val="clear" w:color="auto" w:fill="auto"/>
        <w:bidi w:val="0"/>
        <w:spacing w:before="0" w:line="283" w:lineRule="auto"/>
        <w:ind w:left="260" w:right="0" w:firstLine="0"/>
        <w:jc w:val="left"/>
      </w:pPr>
      <w:r>
        <w:rPr>
          <w:rStyle w:val="CharStyle11"/>
        </w:rPr>
        <w:t xml:space="preserve">MUDr. Hana Albrechtová ředitelka </w:t>
      </w:r>
      <w:r>
        <w:rPr>
          <w:rStyle w:val="CharStyle11"/>
          <w:b/>
          <w:bCs/>
        </w:rPr>
        <w:t>za kupujícího</w:t>
      </w:r>
    </w:p>
    <w:p>
      <w:pPr>
        <w:pStyle w:val="Style10"/>
        <w:keepNext w:val="0"/>
        <w:keepLines w:val="0"/>
        <w:framePr w:w="1406" w:h="648" w:wrap="none" w:hAnchor="page" w:x="8061" w:y="2665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</w:pPr>
      <w:r>
        <w:rPr>
          <w:rStyle w:val="CharStyle11"/>
        </w:rPr>
        <w:t>Ing. Jiří Vaněk 2025.01.10 08:07:28 +01'00'</w:t>
      </w:r>
    </w:p>
    <w:p>
      <w:pPr>
        <w:pStyle w:val="Style10"/>
        <w:keepNext w:val="0"/>
        <w:keepLines w:val="0"/>
        <w:framePr w:w="1579" w:h="792" w:wrap="none" w:hAnchor="page" w:x="6578" w:y="3539"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left"/>
      </w:pPr>
      <w:r>
        <w:rPr>
          <w:rStyle w:val="CharStyle11"/>
        </w:rPr>
        <w:t xml:space="preserve">Ing. Jiří Vaněk jednatel </w:t>
      </w:r>
      <w:r>
        <w:rPr>
          <w:rStyle w:val="CharStyle11"/>
          <w:b/>
          <w:bCs/>
        </w:rPr>
        <w:t>za prodávajícího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78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1900" w:h="16840"/>
      <w:pgMar w:top="1602" w:right="1522" w:bottom="968" w:left="1273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948690</wp:posOffset>
              </wp:positionH>
              <wp:positionV relativeFrom="page">
                <wp:posOffset>10020935</wp:posOffset>
              </wp:positionV>
              <wp:extent cx="2724785" cy="9779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724785" cy="977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5"/>
                              <w:rFonts w:ascii="Arial" w:eastAsia="Arial" w:hAnsi="Arial" w:cs="Arial"/>
                              <w:i/>
                              <w:iCs/>
                              <w:sz w:val="15"/>
                              <w:szCs w:val="15"/>
                            </w:rPr>
                            <w:t>Veřejná zakázka 25_2024: EKG záznamový papír 2024 - 2026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4.700000000000003pt;margin-top:789.05000000000007pt;width:214.55000000000001pt;height:7.70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i/>
                        <w:iCs/>
                        <w:sz w:val="15"/>
                        <w:szCs w:val="15"/>
                      </w:rPr>
                      <w:t>Veřejná zakázka 25_2024: EKG záznamový papír 2024 - 2026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upperRoman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Nadpis #1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62"/>
      <w:szCs w:val="62"/>
      <w:u w:val="none"/>
    </w:rPr>
  </w:style>
  <w:style w:type="character" w:customStyle="1" w:styleId="CharStyle5">
    <w:name w:val="Záhlaví nebo zápatí (2)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Základní text (2)_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1">
    <w:name w:val="Základní text_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5">
    <w:name w:val="Jiné_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30">
    <w:name w:val="Titulek tabulky_"/>
    <w:basedOn w:val="DefaultParagraphFont"/>
    <w:link w:val="Style29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CharStyle35">
    <w:name w:val="Nadpis #4_"/>
    <w:basedOn w:val="DefaultParagraphFont"/>
    <w:link w:val="Style34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38">
    <w:name w:val="Nadpis #3_"/>
    <w:basedOn w:val="DefaultParagraphFont"/>
    <w:link w:val="Style37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41">
    <w:name w:val="Nadpis #2_"/>
    <w:basedOn w:val="DefaultParagraphFont"/>
    <w:link w:val="Style40"/>
    <w:rPr>
      <w:rFonts w:ascii="Tahoma" w:eastAsia="Tahoma" w:hAnsi="Tahoma" w:cs="Tahoma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Style2">
    <w:name w:val="Nadpis #1"/>
    <w:basedOn w:val="Normal"/>
    <w:link w:val="CharStyle3"/>
    <w:pPr>
      <w:widowControl w:val="0"/>
      <w:shd w:val="clear" w:color="auto" w:fill="auto"/>
      <w:spacing w:after="100"/>
      <w:ind w:right="440"/>
      <w:jc w:val="right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62"/>
      <w:szCs w:val="62"/>
      <w:u w:val="none"/>
    </w:rPr>
  </w:style>
  <w:style w:type="paragraph" w:customStyle="1" w:styleId="Style4">
    <w:name w:val="Záhlaví nebo zápatí (2)"/>
    <w:basedOn w:val="Normal"/>
    <w:link w:val="CharStyle5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Základní text (2)"/>
    <w:basedOn w:val="Normal"/>
    <w:link w:val="CharStyle8"/>
    <w:pPr>
      <w:widowControl w:val="0"/>
      <w:shd w:val="clear" w:color="auto" w:fill="auto"/>
      <w:spacing w:after="140" w:line="180" w:lineRule="auto"/>
      <w:ind w:right="2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10">
    <w:name w:val="Základní text"/>
    <w:basedOn w:val="Normal"/>
    <w:link w:val="CharStyle11"/>
    <w:pPr>
      <w:widowControl w:val="0"/>
      <w:shd w:val="clear" w:color="auto" w:fill="auto"/>
      <w:spacing w:after="1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4">
    <w:name w:val="Jiné"/>
    <w:basedOn w:val="Normal"/>
    <w:link w:val="CharStyle15"/>
    <w:pPr>
      <w:widowControl w:val="0"/>
      <w:shd w:val="clear" w:color="auto" w:fill="auto"/>
      <w:spacing w:after="1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9">
    <w:name w:val="Titulek tabulky"/>
    <w:basedOn w:val="Normal"/>
    <w:link w:val="CharStyle30"/>
    <w:pPr>
      <w:widowControl w:val="0"/>
      <w:shd w:val="clear" w:color="auto" w:fill="auto"/>
    </w:pPr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paragraph" w:customStyle="1" w:styleId="Style34">
    <w:name w:val="Nadpis #4"/>
    <w:basedOn w:val="Normal"/>
    <w:link w:val="CharStyle35"/>
    <w:pPr>
      <w:widowControl w:val="0"/>
      <w:shd w:val="clear" w:color="auto" w:fill="auto"/>
      <w:spacing w:after="100" w:line="257" w:lineRule="auto"/>
      <w:jc w:val="center"/>
      <w:outlineLvl w:val="3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37">
    <w:name w:val="Nadpis #3"/>
    <w:basedOn w:val="Normal"/>
    <w:link w:val="CharStyle38"/>
    <w:pPr>
      <w:widowControl w:val="0"/>
      <w:shd w:val="clear" w:color="auto" w:fill="auto"/>
      <w:spacing w:after="100"/>
      <w:jc w:val="center"/>
      <w:outlineLvl w:val="2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40">
    <w:name w:val="Nadpis #2"/>
    <w:basedOn w:val="Normal"/>
    <w:link w:val="CharStyle41"/>
    <w:pPr>
      <w:widowControl w:val="0"/>
      <w:shd w:val="clear" w:color="auto" w:fill="auto"/>
      <w:spacing w:after="200"/>
      <w:outlineLvl w:val="1"/>
    </w:pPr>
    <w:rPr>
      <w:rFonts w:ascii="Tahoma" w:eastAsia="Tahoma" w:hAnsi="Tahoma" w:cs="Tahoma"/>
      <w:b w:val="0"/>
      <w:bCs w:val="0"/>
      <w:i w:val="0"/>
      <w:iCs w:val="0"/>
      <w:smallCaps w:val="0"/>
      <w:strike w:val="0"/>
      <w:sz w:val="32"/>
      <w:szCs w:val="3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