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uzavřely osoby dle svého vlastního prohlášení svéprávné k právním jednáním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statutární město Pardubice,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Pardubicích, Pernštýnské nám. 1, PSČ 530 21 IČO: 002 74 046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Ing. Miroslavem Macelou, vedoucím oddělení pozemků a převodu nemovitostí Magistrátu města Pardubic, a to na základě čl. 10 odst. 1 a odst. 6 a či. 12 směrnice č. 6/2024, Organizační řád,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HBC Pardubice, z.s.,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Valčíkova 329, Polabiny, 530 09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26516 471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</w:t>
        <w:tab/>
        <w:t>, předsedou spolku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dále společně jen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bookmarkStart w:id="0" w:name="bookmark0"/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ke smlouvě o výpůjčce uzavřené dne 22.3.2017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jenom dodatek ke smlouvě)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ustanovením § 2193 a násl. zákona č. 89/2012 Sb., občanský zákoník, v platném znění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0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spolu dne 22.3.2017 uzavřely Smlouvu o výpůjčce č. V 0364/MO2, na základě které se půjčitel zavázal přenechat bezplatně do výpůjčky vypůjčiteli k užívání část pozemku označeného jako p.p.č. 3702/12 o výměře 8983 m2, v k.ů. Pardubice, za účelem výstavby a provozování hokejbalové haly (dále jenom jako „smlouva o výpůjčce"), a to na dobu 15 let.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0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 na změně výměry předmětného pozemku 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8.983 m2 na výměru 7.730 m2, dle nového zákresu č. 1 v příloze a dále na změně účelu výpůjčky, kdy původní účel výpůjčky „pro výstavbu a provozování hokejbalové haly“ nahrazují účelem: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- provozování sportovní činnosti mládeže i dospělých (soutěže registrovaných členů organizovaných sportovním svazem, turnaje klubů z celé republiky,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21" w:val="left"/>
        </w:tabs>
        <w:bidi w:val="0"/>
        <w:spacing w:before="0" w:after="0"/>
        <w:ind w:left="72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provozování činnosti pořádané klubem pro děti a mládež ze škol, školek a družiny,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10" w:val="left"/>
        </w:tabs>
        <w:bidi w:val="0"/>
        <w:spacing w:before="0" w:after="0"/>
        <w:ind w:left="72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umístění a provozování velkého i malého (mobilního) hokejbalového hřiště a zázemí (šatny, sociální zařízení) včetně jejich správy a údržby".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2" w:val="left"/>
        </w:tabs>
        <w:bidi w:val="0"/>
        <w:spacing w:before="0" w:after="26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o výpůjčce zůstávají nezměněna.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2" w:val="left"/>
        </w:tabs>
        <w:bidi w:val="0"/>
        <w:spacing w:before="0" w:after="0"/>
        <w:ind w:left="720" w:right="0" w:hanging="36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592" w:right="984" w:bottom="1142" w:left="169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ke smlouvě nabývá platnosti dnem jejího podpisu oběma smluvními stranami a účinnosti dnem jejího zveřejnění v registru smluv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spravovaném Digitální a informační agenturou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se zákonem č. 340/2015 Sb., o zvláštních podmínkách účinnosti některých smluv, uveřejňování těchto smluv a o registru smluv (zákon o registru smluv), v platném znění. Smluvní strany se dohodly, že půjčitel bezodkladně po uzavření této smlouvy odešle smlouvu k řádnému uveřejnění 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7280"/>
        <w:jc w:val="left"/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V_0364/MO2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registru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spravovaného Digitální a informační agenturou.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uveřejnění smlouvy zveřejňující strana bezodkladně informuje druhou smluvní stranu, nebyl-li kontaktní údaj této smluvní strany uveden přímo do registru smluv jako kontakt pro notifikaci o uveřejnění.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nebude-U smlouva zveřejněna ani do tří měsíců ode dne, kdy byla uzavřena, platí, že je zrušena od počátku s účinky případného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žádná část dodatku smlouvy nenaplňuje znaky obchodního tajemství (§ 504 zákona č. 89/2012 Sb., občanský zákoník).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smlouvy uzavřely svobodně a vážně, nikoli v tísni za nápadně nevýhodných podmínek.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Vypůjčitel bere na vědomí, že jakákoliv změna smlouvy podléhá schválení v příslušných orgánech města.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bere na vědomí, že s ohledem na časovou náročnost procesu projednání je nezbytné činit žádosti o změnu smlouvy s dostatečným časovým předstihem, n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ejp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zději 6 mě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síc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ů přede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68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ke smlouvě o výpůjčce je sepsán ve 4 vyhotoveních, z nichž 2 obdrží vypůjčitel a 2 si ponechá půjčitel.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Schvalovací doložka dle ust. § 41 zák. č. 128/2000 Sb., o obcích, ve znění pozdějších změn a doplňků schváleno: RmP dne 30.10.2024 usn. č. R/4445/2024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25400</wp:posOffset>
                </wp:positionV>
                <wp:extent cx="495935" cy="29718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5935" cy="297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17.7.2024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2.8.2024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49.25pt;margin-top:2.pt;width:39.050000000000004pt;height:23.4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17.7.2024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2.8.2024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vyvěšeno dne: svěšeno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 1?!'..?.???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104900" distB="365760" distL="0" distR="0" simplePos="0" relativeHeight="125829380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1104900</wp:posOffset>
                </wp:positionV>
                <wp:extent cx="1595755" cy="1854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5755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statutami město Pardubice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1.5pt;margin-top:87.pt;width:125.65000000000001pt;height:14.6pt;z-index:-125829373;mso-wrap-distance-left:0;mso-wrap-distance-top:87.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statutami město Pardubice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99210" distB="0" distL="0" distR="0" simplePos="0" relativeHeight="125829382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1299210</wp:posOffset>
                </wp:positionV>
                <wp:extent cx="1209040" cy="3568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904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Miroslav Macela vedoucí oddělení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1.5pt;margin-top:102.3pt;width:95.200000000000003pt;height:28.100000000000001pt;z-index:-125829371;mso-wrap-distance-left:0;mso-wrap-distance-top:102.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Miroslav Macela vedoucí oddělení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9190" distB="16510" distL="0" distR="0" simplePos="0" relativeHeight="125829384" behindDoc="0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1139190</wp:posOffset>
                </wp:positionV>
                <wp:extent cx="1136015" cy="5003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015" cy="500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HBC Pardubice, z.s.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86.25pt;margin-top:89.700000000000003pt;width:89.450000000000003pt;height:39.399999999999999pt;z-index:-125829369;mso-wrap-distance-left:0;mso-wrap-distance-top:89.700000000000003pt;mso-wrap-distance-right:0;mso-wrap-distance-bottom:1.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HBC Pardubice, z.s.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358130" cy="7546975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358130" cy="75469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11"/>
      <w:footerReference w:type="default" r:id="rId12"/>
      <w:headerReference w:type="even" r:id="rId13"/>
      <w:footerReference w:type="even" r:id="rId14"/>
      <w:footnotePr>
        <w:pos w:val="pageBottom"/>
        <w:numFmt w:val="decimal"/>
        <w:numRestart w:val="continuous"/>
      </w:footnotePr>
      <w:pgSz w:w="11900" w:h="16840"/>
      <w:pgMar w:top="999" w:right="1275" w:bottom="3683" w:left="142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10141585</wp:posOffset>
              </wp:positionV>
              <wp:extent cx="50165" cy="800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Cambria" w:eastAsia="Cambria" w:hAnsi="Cambria" w:cs="Cambria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11.94999999999999pt;margin-top:798.55000000000007pt;width:3.9500000000000002pt;height:6.2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Cambria" w:eastAsia="Cambria" w:hAnsi="Cambria" w:cs="Cambri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10141585</wp:posOffset>
              </wp:positionV>
              <wp:extent cx="50165" cy="800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Cambria" w:eastAsia="Cambria" w:hAnsi="Cambria" w:cs="Cambria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1.94999999999999pt;margin-top:798.55000000000007pt;width:3.9500000000000002pt;height:6.29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Cambria" w:eastAsia="Cambria" w:hAnsi="Cambria" w:cs="Cambri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3874135</wp:posOffset>
              </wp:positionH>
              <wp:positionV relativeFrom="page">
                <wp:posOffset>9925050</wp:posOffset>
              </wp:positionV>
              <wp:extent cx="52705" cy="8445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" cy="84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Cambria" w:eastAsia="Cambria" w:hAnsi="Cambria" w:cs="Cambria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05.05000000000001pt;margin-top:781.5pt;width:4.1500000000000004pt;height:6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Cambria" w:eastAsia="Cambria" w:hAnsi="Cambria" w:cs="Cambri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3772535</wp:posOffset>
              </wp:positionH>
              <wp:positionV relativeFrom="page">
                <wp:posOffset>10329545</wp:posOffset>
              </wp:positionV>
              <wp:extent cx="52705" cy="8255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Cambria" w:eastAsia="Cambria" w:hAnsi="Cambria" w:cs="Cambria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97.05000000000001pt;margin-top:813.35000000000002pt;width:4.1500000000000004pt;height:6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Cambria" w:eastAsia="Cambria" w:hAnsi="Cambria" w:cs="Cambri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6193155</wp:posOffset>
              </wp:positionH>
              <wp:positionV relativeFrom="page">
                <wp:posOffset>473710</wp:posOffset>
              </wp:positionV>
              <wp:extent cx="717550" cy="1168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550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V.0364/MO2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7.65000000000003pt;margin-top:37.300000000000004pt;width:56.5pt;height:9.200000000000001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V.0364/MO2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6193155</wp:posOffset>
              </wp:positionH>
              <wp:positionV relativeFrom="page">
                <wp:posOffset>473710</wp:posOffset>
              </wp:positionV>
              <wp:extent cx="717550" cy="1168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7550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V.0364/MO2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7.65000000000003pt;margin-top:37.300000000000004pt;width:56.5pt;height:9.200000000000001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V.0364/MO2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6548755</wp:posOffset>
              </wp:positionH>
              <wp:positionV relativeFrom="page">
                <wp:posOffset>381000</wp:posOffset>
              </wp:positionV>
              <wp:extent cx="708660" cy="11874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866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V_0364/MO2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515.64999999999998pt;margin-top:30.pt;width:55.800000000000004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V_0364/MO2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hlaví nebo zápatí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1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Titulek obrázku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hlaví nebo zápatí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78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ind w:left="290" w:firstLine="2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Titulek obrázku"/>
    <w:basedOn w:val="Normal"/>
    <w:link w:val="CharStyle18"/>
    <w:pPr>
      <w:widowControl w:val="0"/>
      <w:shd w:val="clear" w:color="auto" w:fill="auto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/Relationships>
</file>