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1637"/>
        <w:gridCol w:w="7493"/>
      </w:tblGrid>
      <w:tr>
        <w:trPr>
          <w:trHeight w:val="172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bookmarkStart w:id="0" w:name="bookmark0"/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Dodatek č. 5 k nájemní smlouvě č. 69/2012</w:t>
            </w:r>
            <w:bookmarkEnd w:id="0"/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I. Smluvní strany</w:t>
            </w:r>
          </w:p>
        </w:tc>
      </w:tr>
      <w:tr>
        <w:trPr>
          <w:trHeight w:val="27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Pronajímatel: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70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70889988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60" w:line="240" w:lineRule="auto"/>
              <w:ind w:left="3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 je zapsán v obchodním rejstříku u Krajského soudu v Ústí nad Labem, v oddílu A, vložce č. 13052</w:t>
            </w:r>
          </w:p>
        </w:tc>
      </w:tr>
      <w:tr>
        <w:trPr>
          <w:trHeight w:val="262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Nájemce: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 Zápotocký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Revoluční 56, 431 56 Mašťov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46789448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zapsán u MěÚ Kadaň, odbor správních činností a obecní živnostenský úřad, živnostenský list vydán dne 29. 3. 2005 pod č.j. OSC/30925/05 poř. č. 001</w:t>
            </w:r>
          </w:p>
        </w:tc>
      </w:tr>
    </w:tbl>
    <w:p>
      <w:pPr>
        <w:widowControl w:val="0"/>
        <w:spacing w:after="67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5 se mění s účinností od 1.2.2025 tyto body smlouvy: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 DOBA NÁJMU změna odst. 1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Pronajímatel pronajímá nájemci předmět nájmu uvedený v čl. II. na dobu určitou od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3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2. 2025 do 31. 1. 2030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na dobu pěti let.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V. CENA A PLATEBNÍ PODMÍNKY změna odst. 3 a 4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nájmu pro rok 2025 je stanovena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80.148 Kč/rok bez DPH + oficiálně (úředně) zjištěná a vyhlášená inflace za rok 2024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440" w:line="240" w:lineRule="auto"/>
        <w:ind w:left="300" w:right="0" w:hanging="30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nájmu pro roky 2026 až 2030 bude upravována pronajímatelem v návaznosti na výši oficiálně (úředně) zjištěné a vyhlášené inflace a bude nájemci sdělena prostřednictvím příslušného daňového dokladu.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ostatních bodech se smlouva nemění.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 této smlouvy nabývá platnosti dnem podpisu poslední ze smluvních stran a účinnosti zveřejněním v Registru smluv, pokud této účinnosti dle příslušných ustanovení smlouvy nenabude později.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353" w:left="1372" w:right="1406" w:bottom="2583" w:header="925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vyhotoven ve 4 vyhotoveních, z nichž každá strana obdrží 2 vyhotovení.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2" w:after="9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8" w:left="0" w:right="0" w:bottom="909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tabs>
          <w:tab w:pos="371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Chomutově dne </w:t>
      </w:r>
      <w:r>
        <w:rPr>
          <w:u w:val="single"/>
        </w:rPr>
        <w:t xml:space="preserve"> </w:t>
        <w:tab/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446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8" w:left="1394" w:right="2056" w:bottom="9098" w:header="0" w:footer="3" w:gutter="0"/>
          <w:cols w:num="2" w:space="1145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Mašťově dne </w:t>
      </w:r>
      <w:r>
        <w:rPr>
          <w:u w:val="single"/>
        </w:rPr>
        <w:t xml:space="preserve"> </w:t>
        <w:tab/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4" w:after="1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8" w:left="0" w:right="0" w:bottom="136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tabs>
          <w:tab w:pos="415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u w:val="single"/>
        </w:rPr>
        <w:t xml:space="preserve"> </w:t>
        <w:tab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03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u w:val="single"/>
        </w:rPr>
        <w:t xml:space="preserve"> </w:t>
        <w:tab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8" w:left="1394" w:right="1471" w:bottom="1368" w:header="0" w:footer="3" w:gutter="0"/>
          <w:cols w:num="2" w:space="734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Jiří Zápotocký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68" w:left="1394" w:right="1471" w:bottom="1368" w:header="0" w:footer="3" w:gutter="0"/>
      <w:cols w:num="2" w:space="734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3422650</wp:posOffset>
              </wp:positionH>
              <wp:positionV relativeFrom="page">
                <wp:posOffset>9902825</wp:posOffset>
              </wp:positionV>
              <wp:extent cx="692150" cy="21018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2150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9.5pt;margin-top:779.75pt;width:54.5pt;height:16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Letafkova Jana</dc:creator>
  <cp:keywords/>
</cp:coreProperties>
</file>