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0E" w:rsidRDefault="00A37367">
      <w:pPr>
        <w:pStyle w:val="Nadpis20"/>
        <w:keepNext/>
        <w:keepLines/>
        <w:tabs>
          <w:tab w:val="left" w:pos="7174"/>
        </w:tabs>
        <w:spacing w:line="240" w:lineRule="auto"/>
        <w:ind w:left="3900"/>
        <w:jc w:val="left"/>
      </w:pPr>
      <w:bookmarkStart w:id="0" w:name="bookmark2"/>
      <w:r>
        <w:rPr>
          <w:rStyle w:val="Nadpis2"/>
          <w:b/>
          <w:bCs/>
          <w:i/>
          <w:iCs/>
        </w:rPr>
        <w:t>ŘÍLOHA č. 3</w:t>
      </w:r>
      <w:r>
        <w:rPr>
          <w:rStyle w:val="Nadpis2"/>
          <w:b/>
          <w:bCs/>
          <w:i/>
          <w:iCs/>
        </w:rPr>
        <w:tab/>
        <w:t>—</w:t>
      </w:r>
      <w:bookmarkEnd w:id="0"/>
      <w:r w:rsidR="003541D6">
        <w:rPr>
          <w:rStyle w:val="Nadpis2"/>
          <w:b/>
          <w:bCs/>
          <w:i/>
          <w:iCs/>
        </w:rPr>
        <w:t>2025000184</w:t>
      </w:r>
      <w:bookmarkStart w:id="1" w:name="_GoBack"/>
      <w:bookmarkEnd w:id="1"/>
    </w:p>
    <w:p w:rsidR="0099560E" w:rsidRDefault="00A37367">
      <w:pPr>
        <w:pStyle w:val="Jin0"/>
        <w:spacing w:line="264" w:lineRule="auto"/>
        <w:jc w:val="center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 SMLOUVĚ ČÍSLO: P - 77078/01</w:t>
      </w:r>
    </w:p>
    <w:p w:rsidR="0099560E" w:rsidRDefault="00A37367">
      <w:pPr>
        <w:pStyle w:val="Nadpis20"/>
        <w:keepNext/>
        <w:keepLines/>
        <w:spacing w:line="264" w:lineRule="auto"/>
        <w:ind w:left="0"/>
      </w:pPr>
      <w:bookmarkStart w:id="2" w:name="bookmark4"/>
      <w:r>
        <w:rPr>
          <w:rStyle w:val="Nadpis2"/>
          <w:b/>
          <w:bCs/>
          <w:i/>
          <w:iCs/>
        </w:rPr>
        <w:t>DOHODA O POSKYTOVÁNÍ ZÁLOH</w:t>
      </w:r>
      <w:bookmarkEnd w:id="2"/>
    </w:p>
    <w:p w:rsidR="0099560E" w:rsidRDefault="00A37367">
      <w:pPr>
        <w:pStyle w:val="Nadpis20"/>
        <w:keepNext/>
        <w:keepLines/>
        <w:spacing w:line="240" w:lineRule="auto"/>
        <w:ind w:left="0"/>
      </w:pPr>
      <w:bookmarkStart w:id="3" w:name="bookmark6"/>
      <w:r>
        <w:rPr>
          <w:rStyle w:val="Nadpis2"/>
          <w:b/>
          <w:bCs/>
          <w:i/>
          <w:iCs/>
        </w:rPr>
        <w:t>PRO ROK 2025</w:t>
      </w:r>
      <w:bookmarkEnd w:id="3"/>
    </w:p>
    <w:p w:rsidR="0099560E" w:rsidRDefault="00A37367">
      <w:pPr>
        <w:pStyle w:val="Jin0"/>
        <w:spacing w:after="220"/>
        <w:jc w:val="center"/>
        <w:rPr>
          <w:sz w:val="28"/>
          <w:szCs w:val="28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pro smluvní účet číslo: 770782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3605"/>
        <w:gridCol w:w="3787"/>
      </w:tblGrid>
      <w:tr w:rsidR="0099560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center"/>
            </w:pPr>
            <w:r>
              <w:rPr>
                <w:rStyle w:val="Jin"/>
              </w:rPr>
              <w:t>Prodávající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center"/>
            </w:pPr>
            <w:r>
              <w:rPr>
                <w:rStyle w:val="Jin"/>
              </w:rPr>
              <w:t>Kupující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Jméno/firma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</w:pPr>
            <w:r>
              <w:rPr>
                <w:rStyle w:val="Jin"/>
                <w:b/>
                <w:bCs/>
              </w:rPr>
              <w:t>Teplárny Brno, a.s.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spacing w:line="264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</w:t>
            </w:r>
            <w:r>
              <w:rPr>
                <w:rStyle w:val="Jin"/>
                <w:b/>
                <w:bCs/>
              </w:rPr>
              <w:t>příspěvková organizace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Sídlo/místo podnikání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Okružní 25, 638 00 Brno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Kamenice 798/1 d / 625 00 Brno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RČ/IČ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both"/>
            </w:pPr>
            <w:r>
              <w:rPr>
                <w:rStyle w:val="Jin"/>
              </w:rPr>
              <w:t>46347534</w:t>
            </w:r>
          </w:p>
          <w:p w:rsidR="0099560E" w:rsidRDefault="00A37367">
            <w:pPr>
              <w:pStyle w:val="Jin0"/>
              <w:jc w:val="both"/>
            </w:pPr>
            <w:r>
              <w:rPr>
                <w:rStyle w:val="Jin"/>
              </w:rPr>
              <w:t>Zapsáno v OR u KS v Brně, oddíl B, vložka 786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00346292</w:t>
            </w:r>
          </w:p>
          <w:p w:rsidR="0099560E" w:rsidRDefault="00A37367">
            <w:pPr>
              <w:pStyle w:val="Jin0"/>
            </w:pPr>
            <w:r>
              <w:rPr>
                <w:rStyle w:val="Jin"/>
              </w:rPr>
              <w:t xml:space="preserve">Zapsáno v OR u KS v Brně, oddíl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>, vložka 1245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DIČ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CZ46347534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CZ00346292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</w:pPr>
            <w:proofErr w:type="gramStart"/>
            <w:r>
              <w:rPr>
                <w:rStyle w:val="Jin"/>
              </w:rPr>
              <w:t>zastoupen(a)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spacing w:line="276" w:lineRule="auto"/>
            </w:pPr>
            <w:r>
              <w:rPr>
                <w:rStyle w:val="Jin"/>
              </w:rPr>
              <w:t>Ing. Petr Fajmon, MBA, generální ředitel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MUDr. Hana Albrechtová, ředitelka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oprávněn jednat a podepisovat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99560E"/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Bankovní spojení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Komerční banka, a.s.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MONETA Money Bank, a.s.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Číslo účtu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19-32606621 /0100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117203-514/0600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Způsob platby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 xml:space="preserve">Převodní </w:t>
            </w:r>
            <w:r>
              <w:rPr>
                <w:rStyle w:val="Jin"/>
              </w:rPr>
              <w:t>příkaz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Přímé inkaso</w:t>
            </w:r>
          </w:p>
        </w:tc>
      </w:tr>
    </w:tbl>
    <w:p w:rsidR="0099560E" w:rsidRDefault="0099560E">
      <w:pPr>
        <w:spacing w:after="219" w:line="1" w:lineRule="exact"/>
      </w:pPr>
    </w:p>
    <w:p w:rsidR="0099560E" w:rsidRDefault="00A37367">
      <w:pPr>
        <w:pStyle w:val="Zkladntext1"/>
        <w:spacing w:after="220"/>
        <w:ind w:left="200"/>
        <w:jc w:val="both"/>
      </w:pPr>
      <w:r>
        <w:rPr>
          <w:rStyle w:val="Zkladntext"/>
        </w:rPr>
        <w:t>Prodávající a kupující se dohodli na těchto podmínkách poskytování záloh na dodávku a odběr tepelné energie: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563"/>
        </w:tabs>
        <w:ind w:firstLine="200"/>
      </w:pPr>
      <w:r>
        <w:rPr>
          <w:rStyle w:val="Zkladntext"/>
        </w:rPr>
        <w:t>Zálohy budou hrazeny v termínech splatnosti dle následujícího rozpisu,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558"/>
        </w:tabs>
        <w:spacing w:after="220"/>
        <w:ind w:firstLine="200"/>
      </w:pPr>
      <w:r>
        <w:rPr>
          <w:rStyle w:val="Zkladntext"/>
        </w:rPr>
        <w:t>Výše záloh včetně daně z přidané hodnoty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416"/>
        <w:gridCol w:w="1416"/>
        <w:gridCol w:w="1421"/>
        <w:gridCol w:w="1421"/>
        <w:gridCol w:w="1416"/>
        <w:gridCol w:w="1435"/>
      </w:tblGrid>
      <w:tr w:rsidR="0099560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spacing w:after="40"/>
              <w:ind w:firstLine="5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!!</w:t>
            </w:r>
          </w:p>
          <w:p w:rsidR="0099560E" w:rsidRDefault="00A37367">
            <w:pPr>
              <w:pStyle w:val="Jin0"/>
            </w:pPr>
            <w:r>
              <w:rPr>
                <w:rStyle w:val="Jin"/>
              </w:rPr>
              <w:t>Období</w:t>
            </w:r>
          </w:p>
          <w:p w:rsidR="0099560E" w:rsidRDefault="00A37367">
            <w:pPr>
              <w:pStyle w:val="Jin0"/>
              <w:tabs>
                <w:tab w:val="left" w:pos="1068"/>
              </w:tabs>
              <w:spacing w:line="209" w:lineRule="auto"/>
              <w:ind w:firstLine="5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</w:t>
            </w:r>
            <w:r>
              <w:rPr>
                <w:rStyle w:val="Jin"/>
                <w:sz w:val="22"/>
                <w:szCs w:val="22"/>
              </w:rPr>
              <w:tab/>
            </w:r>
            <w:r>
              <w:rPr>
                <w:rStyle w:val="Jin"/>
                <w:sz w:val="22"/>
                <w:szCs w:val="22"/>
                <w:vertAlign w:val="superscript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tabs>
                <w:tab w:val="left" w:pos="1568"/>
              </w:tabs>
              <w:ind w:firstLine="800"/>
            </w:pPr>
            <w:r>
              <w:rPr>
                <w:rStyle w:val="Jin"/>
              </w:rPr>
              <w:t>!.</w:t>
            </w:r>
            <w:r>
              <w:rPr>
                <w:rStyle w:val="Jin"/>
              </w:rPr>
              <w:tab/>
              <w:t>di splátka í p'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tabs>
                <w:tab w:val="left" w:pos="3154"/>
              </w:tabs>
            </w:pPr>
            <w:r>
              <w:rPr>
                <w:rStyle w:val="Jin"/>
              </w:rPr>
              <w:t xml:space="preserve">/ </w:t>
            </w:r>
            <w:proofErr w:type="spellStart"/>
            <w:r>
              <w:rPr>
                <w:rStyle w:val="Jin"/>
              </w:rPr>
              <w:t>fil</w:t>
            </w:r>
            <w:proofErr w:type="spellEnd"/>
            <w:r>
              <w:rPr>
                <w:rStyle w:val="Jin"/>
              </w:rPr>
              <w:t xml:space="preserve"> ^-</w:t>
            </w:r>
            <w:proofErr w:type="spellStart"/>
            <w:r>
              <w:rPr>
                <w:rStyle w:val="Jin"/>
              </w:rPr>
              <w:t>šŘIatkál</w:t>
            </w:r>
            <w:proofErr w:type="spellEnd"/>
            <w:r>
              <w:rPr>
                <w:rStyle w:val="Jin"/>
              </w:rPr>
              <w:tab/>
              <w:t>F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9560E" w:rsidRDefault="0099560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splatnost 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center"/>
            </w:pPr>
            <w:r>
              <w:rPr>
                <w:rStyle w:val="Jin"/>
              </w:rPr>
              <w:t xml:space="preserve">. var. </w:t>
            </w:r>
            <w:proofErr w:type="gramStart"/>
            <w:r>
              <w:rPr>
                <w:rStyle w:val="Jin"/>
              </w:rPr>
              <w:t>symbol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right"/>
            </w:pPr>
            <w:r>
              <w:rPr>
                <w:rStyle w:val="Jin"/>
              </w:rPr>
              <w:t>■ splatnost 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 xml:space="preserve">var. </w:t>
            </w:r>
            <w:proofErr w:type="gramStart"/>
            <w:r>
              <w:rPr>
                <w:rStyle w:val="Jin"/>
              </w:rPr>
              <w:t>symbol</w:t>
            </w:r>
            <w:proofErr w:type="gramEnd"/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Leden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18.800,00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3770782015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18.800,00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4770782015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Únor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17.200,00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17.200,00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4770782025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Březen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15.900,00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3770782035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15.900,00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4770782035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Duben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11.900,00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3770782045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11.900,00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4770782045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Květen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520"/>
            </w:pPr>
            <w:r>
              <w:rPr>
                <w:rStyle w:val="Jin"/>
              </w:rPr>
              <w:t>7.000,00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3770782055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right"/>
            </w:pPr>
            <w:r>
              <w:rPr>
                <w:rStyle w:val="Jin"/>
              </w:rPr>
              <w:t>7.000,00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4770782055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Červen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900"/>
            </w:pPr>
            <w:r>
              <w:rPr>
                <w:rStyle w:val="Ji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900"/>
            </w:pPr>
            <w:r>
              <w:rPr>
                <w:rStyle w:val="Ji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Červenec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900"/>
            </w:pPr>
            <w:r>
              <w:rPr>
                <w:rStyle w:val="Ji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900"/>
            </w:pPr>
            <w:r>
              <w:rPr>
                <w:rStyle w:val="Ji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Srpen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900"/>
            </w:pPr>
            <w:r>
              <w:rPr>
                <w:rStyle w:val="Ji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900"/>
            </w:pPr>
            <w:r>
              <w:rPr>
                <w:rStyle w:val="Ji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99560E">
            <w:pPr>
              <w:rPr>
                <w:sz w:val="10"/>
                <w:szCs w:val="10"/>
              </w:rPr>
            </w:pP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Září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520"/>
            </w:pPr>
            <w:r>
              <w:rPr>
                <w:rStyle w:val="Jin"/>
              </w:rPr>
              <w:t>5.300,00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3770782095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jc w:val="right"/>
            </w:pPr>
            <w:r>
              <w:rPr>
                <w:rStyle w:val="Jin"/>
              </w:rPr>
              <w:t>5.300,00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4770782095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Říjen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4770782105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Listopad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13.900,00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3770782115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13.900,00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4770782115</w:t>
            </w:r>
          </w:p>
        </w:tc>
      </w:tr>
      <w:tr w:rsidR="0099560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</w:pPr>
            <w:r>
              <w:rPr>
                <w:rStyle w:val="Jin"/>
              </w:rPr>
              <w:t>Prosinec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19.200,00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ind w:left="108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3770782125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ind w:firstLine="420"/>
            </w:pPr>
            <w:r>
              <w:rPr>
                <w:rStyle w:val="Jin"/>
              </w:rPr>
              <w:t>19.200,00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ind w:left="1060"/>
              <w:jc w:val="both"/>
            </w:pPr>
            <w:r>
              <w:rPr>
                <w:rStyle w:val="Jin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0E" w:rsidRDefault="00A37367">
            <w:pPr>
              <w:pStyle w:val="Jin0"/>
              <w:ind w:firstLine="180"/>
            </w:pPr>
            <w:r>
              <w:rPr>
                <w:rStyle w:val="Jin"/>
              </w:rPr>
              <w:t>4770782125</w:t>
            </w:r>
          </w:p>
        </w:tc>
      </w:tr>
    </w:tbl>
    <w:p w:rsidR="0099560E" w:rsidRDefault="0099560E">
      <w:pPr>
        <w:spacing w:after="219" w:line="1" w:lineRule="exact"/>
      </w:pPr>
    </w:p>
    <w:p w:rsidR="0099560E" w:rsidRDefault="00A37367">
      <w:pPr>
        <w:pStyle w:val="Zkladntext1"/>
        <w:numPr>
          <w:ilvl w:val="0"/>
          <w:numId w:val="1"/>
        </w:numPr>
        <w:tabs>
          <w:tab w:val="left" w:pos="640"/>
        </w:tabs>
        <w:ind w:left="560" w:hanging="360"/>
      </w:pPr>
      <w:r>
        <w:rPr>
          <w:rStyle w:val="Zkladntext"/>
        </w:rPr>
        <w:t xml:space="preserve">Výše záloh je stanovena na základě sjednaného odběru tepelné energie </w:t>
      </w:r>
      <w:r>
        <w:rPr>
          <w:rStyle w:val="Zkladntext"/>
        </w:rPr>
        <w:t>všech odběrných míst ve smluvním účtu a uzavírá se v případě, že celkový plánovaný odběr činí nejméně 5.000,- Kč za měsíc.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640"/>
        </w:tabs>
        <w:ind w:left="560" w:hanging="360"/>
      </w:pPr>
      <w:r>
        <w:rPr>
          <w:rStyle w:val="Zkladntext"/>
        </w:rPr>
        <w:t xml:space="preserve">Pro případ nedodržení termínu splatnosti sjednávají smluvní strany úrok z prodlení, jehož roční výše odpovídá Nařízení vlády č. </w:t>
      </w:r>
      <w:r>
        <w:rPr>
          <w:rStyle w:val="Zkladntext"/>
        </w:rPr>
        <w:t>351/2013 Sb. ve znění pozdějších předpisů.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640"/>
        </w:tabs>
        <w:spacing w:after="140"/>
        <w:ind w:left="560" w:hanging="360"/>
      </w:pPr>
      <w:r>
        <w:rPr>
          <w:rStyle w:val="Zkladntext"/>
        </w:rPr>
        <w:t>Prodávající si vyhrazuje právo použít platby uhrazené kupujícím k úhradě pohledávek se starším datem splatnosti.</w:t>
      </w:r>
    </w:p>
    <w:p w:rsidR="0099560E" w:rsidRDefault="00A37367">
      <w:pPr>
        <w:pStyle w:val="Zkladntext20"/>
        <w:ind w:firstLine="200"/>
      </w:pPr>
      <w:r>
        <w:rPr>
          <w:noProof/>
          <w:lang w:bidi="ar-SA"/>
        </w:rPr>
        <mc:AlternateContent>
          <mc:Choice Requires="wps">
            <w:drawing>
              <wp:anchor distT="0" distB="27305" distL="114300" distR="2705100" simplePos="0" relativeHeight="125829378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12700</wp:posOffset>
                </wp:positionV>
                <wp:extent cx="502920" cy="1250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60E" w:rsidRDefault="00A37367">
                            <w:pPr>
                              <w:pStyle w:val="Zkladntext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2"/>
                                <w:sz w:val="17"/>
                                <w:szCs w:val="17"/>
                              </w:rPr>
                              <w:t>Strana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3.pt;margin-top:1.pt;width:39.600000000000001pt;height:9.8499999999999996pt;z-index:-125829375;mso-wrap-distance-left:9.pt;mso-wrap-distance-right:213.pt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Strana č.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" distB="0" distL="2759710" distR="114300" simplePos="0" relativeHeight="125829380" behindDoc="0" locked="0" layoutInCell="1" allowOverlap="1">
                <wp:simplePos x="0" y="0"/>
                <wp:positionH relativeFrom="page">
                  <wp:posOffset>6366510</wp:posOffset>
                </wp:positionH>
                <wp:positionV relativeFrom="paragraph">
                  <wp:posOffset>21590</wp:posOffset>
                </wp:positionV>
                <wp:extent cx="448310" cy="1435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560E" w:rsidRDefault="00A37367">
                            <w:pPr>
                              <w:pStyle w:val="Zkladntext20"/>
                              <w:jc w:val="right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>77078/01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1.30000000000001pt;margin-top:1.7pt;width:35.300000000000004pt;height:11.300000000000001pt;z-index:-125829373;mso-wrap-distance-left:217.30000000000001pt;mso-wrap-distance-top:0.70000000000000007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77078/01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  <w:i/>
          <w:iCs/>
        </w:rPr>
        <w:t>Příloha č. 3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520"/>
        </w:tabs>
        <w:ind w:left="520" w:hanging="360"/>
        <w:jc w:val="both"/>
      </w:pPr>
      <w:r>
        <w:rPr>
          <w:rStyle w:val="Zkladntext"/>
        </w:rPr>
        <w:t xml:space="preserve">Na daňovém dokladu (faktuře) nebo souhrnném účtu za teplo budou odečteny uhrazené zálohy. Přeplatek vrátí prodávající kupujícímu příkazem k úhradě v termínu uvedeném na dokladu nebo do 15 dnů po vyrovnání všech pohledávek. </w:t>
      </w:r>
      <w:r>
        <w:rPr>
          <w:rStyle w:val="Zkladntext"/>
        </w:rPr>
        <w:lastRenderedPageBreak/>
        <w:t>Prodávající může dobropis odečíst od starší pohledávky za kupujícím.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520"/>
        </w:tabs>
        <w:ind w:firstLine="160"/>
        <w:jc w:val="both"/>
      </w:pPr>
      <w:r>
        <w:rPr>
          <w:rStyle w:val="Zkladntext"/>
        </w:rPr>
        <w:t>Všechny platby budou provedeny s konstantním symbolem: 0308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520"/>
        </w:tabs>
        <w:ind w:left="520" w:hanging="360"/>
      </w:pPr>
      <w:r>
        <w:rPr>
          <w:rStyle w:val="Zkladntext"/>
        </w:rPr>
        <w:t>Tato příloha je nedílnou součástí smlouvy o dodávce a odběru tepla. Pokud se kupující stane plátcem daně z přidané hodnoty, neb</w:t>
      </w:r>
      <w:r>
        <w:rPr>
          <w:rStyle w:val="Zkladntext"/>
        </w:rPr>
        <w:t>o změní číslo účtu, oznámí toto neprodlené písemně prodávajícímu.</w:t>
      </w:r>
    </w:p>
    <w:p w:rsidR="0099560E" w:rsidRDefault="00A37367">
      <w:pPr>
        <w:pStyle w:val="Zkladntext1"/>
        <w:numPr>
          <w:ilvl w:val="0"/>
          <w:numId w:val="1"/>
        </w:numPr>
        <w:tabs>
          <w:tab w:val="left" w:pos="520"/>
        </w:tabs>
        <w:ind w:left="520" w:hanging="360"/>
        <w:sectPr w:rsidR="0099560E">
          <w:footerReference w:type="default" r:id="rId7"/>
          <w:pgSz w:w="11900" w:h="16840"/>
          <w:pgMar w:top="1040" w:right="1104" w:bottom="836" w:left="1168" w:header="612" w:footer="3" w:gutter="0"/>
          <w:cols w:space="720"/>
          <w:noEndnote/>
          <w:docGrid w:linePitch="360"/>
        </w:sectPr>
      </w:pPr>
      <w:r>
        <w:rPr>
          <w:rStyle w:val="Zkladntext"/>
        </w:rPr>
        <w:t>Tato příloha se vyhotovuje ve dvou stejnopisech s platností originálu. Každá strana obdrží jedno vyhotovení.</w:t>
      </w:r>
    </w:p>
    <w:p w:rsidR="0099560E" w:rsidRDefault="0099560E">
      <w:pPr>
        <w:spacing w:line="240" w:lineRule="exact"/>
        <w:rPr>
          <w:sz w:val="19"/>
          <w:szCs w:val="19"/>
        </w:rPr>
      </w:pPr>
    </w:p>
    <w:p w:rsidR="0099560E" w:rsidRDefault="0099560E">
      <w:pPr>
        <w:spacing w:before="59" w:after="59" w:line="240" w:lineRule="exact"/>
        <w:rPr>
          <w:sz w:val="19"/>
          <w:szCs w:val="19"/>
        </w:rPr>
      </w:pPr>
    </w:p>
    <w:p w:rsidR="0099560E" w:rsidRDefault="0099560E">
      <w:pPr>
        <w:spacing w:line="1" w:lineRule="exact"/>
        <w:sectPr w:rsidR="0099560E">
          <w:type w:val="continuous"/>
          <w:pgSz w:w="11900" w:h="16840"/>
          <w:pgMar w:top="1040" w:right="0" w:bottom="936" w:left="0" w:header="0" w:footer="3" w:gutter="0"/>
          <w:cols w:space="720"/>
          <w:noEndnote/>
          <w:docGrid w:linePitch="360"/>
        </w:sectPr>
      </w:pPr>
    </w:p>
    <w:p w:rsidR="0099560E" w:rsidRDefault="00A37367">
      <w:pPr>
        <w:pStyle w:val="Titulekobrzku0"/>
        <w:framePr w:w="2702" w:h="259" w:wrap="none" w:vAnchor="text" w:hAnchor="page" w:x="4701" w:y="21"/>
      </w:pPr>
      <w:r>
        <w:rPr>
          <w:rStyle w:val="Titulekobrzku"/>
        </w:rPr>
        <w:t>V Brně dne 16. prosince 2024</w:t>
      </w:r>
    </w:p>
    <w:p w:rsidR="0099560E" w:rsidRDefault="00A37367">
      <w:pPr>
        <w:pStyle w:val="Titulekobrzku0"/>
        <w:framePr w:w="2717" w:h="254" w:wrap="none" w:vAnchor="text" w:hAnchor="page" w:x="2287" w:y="2330"/>
      </w:pPr>
      <w:r>
        <w:rPr>
          <w:rStyle w:val="Titulekobrzku"/>
        </w:rPr>
        <w:t>Podpis a razítko prodávajícího</w:t>
      </w:r>
    </w:p>
    <w:p w:rsidR="0099560E" w:rsidRDefault="00A37367">
      <w:pPr>
        <w:pStyle w:val="Titulekobrzku0"/>
        <w:framePr w:w="2438" w:h="259" w:wrap="none" w:vAnchor="text" w:hAnchor="page" w:x="7408" w:y="2325"/>
      </w:pPr>
      <w:r>
        <w:rPr>
          <w:rStyle w:val="Titulekobrzku"/>
        </w:rPr>
        <w:t>Podpis a razítko kupujícího</w:t>
      </w:r>
    </w:p>
    <w:p w:rsidR="0099560E" w:rsidRDefault="00A37367">
      <w:pPr>
        <w:pStyle w:val="Zkladntext20"/>
        <w:framePr w:w="898" w:h="226" w:wrap="none" w:vAnchor="text" w:hAnchor="page" w:x="1361" w:y="11622"/>
      </w:pPr>
      <w:r>
        <w:rPr>
          <w:rStyle w:val="Zkladntext2"/>
          <w:i/>
          <w:iCs/>
        </w:rPr>
        <w:t>Příloha č. 3</w:t>
      </w:r>
    </w:p>
    <w:p w:rsidR="0099560E" w:rsidRDefault="00A37367">
      <w:pPr>
        <w:pStyle w:val="Zkladntext20"/>
        <w:framePr w:w="806" w:h="216" w:wrap="none" w:vAnchor="text" w:hAnchor="page" w:x="5873" w:y="11622"/>
        <w:rPr>
          <w:sz w:val="17"/>
          <w:szCs w:val="17"/>
        </w:rPr>
      </w:pPr>
      <w:r>
        <w:rPr>
          <w:rStyle w:val="Zkladntext2"/>
          <w:sz w:val="17"/>
          <w:szCs w:val="17"/>
        </w:rPr>
        <w:t>Strana č. 2</w:t>
      </w:r>
    </w:p>
    <w:p w:rsidR="0099560E" w:rsidRDefault="00A37367">
      <w:pPr>
        <w:pStyle w:val="Zkladntext20"/>
        <w:framePr w:w="706" w:h="226" w:wrap="none" w:vAnchor="text" w:hAnchor="page" w:x="10039" w:y="11607"/>
      </w:pPr>
      <w:r>
        <w:rPr>
          <w:rStyle w:val="Zkladntext2"/>
          <w:i/>
          <w:iCs/>
        </w:rPr>
        <w:t>77078/01</w:t>
      </w:r>
    </w:p>
    <w:p w:rsidR="0099560E" w:rsidRDefault="00A37367">
      <w:pPr>
        <w:pStyle w:val="Jin0"/>
        <w:framePr w:w="605" w:h="518" w:wrap="none" w:vAnchor="text" w:hAnchor="page" w:x="1169" w:y="12030"/>
        <w:spacing w:line="384" w:lineRule="auto"/>
        <w:jc w:val="center"/>
        <w:rPr>
          <w:sz w:val="12"/>
          <w:szCs w:val="12"/>
        </w:rPr>
      </w:pPr>
      <w:proofErr w:type="spellStart"/>
      <w:r>
        <w:rPr>
          <w:rStyle w:val="Jin"/>
          <w:rFonts w:ascii="Times New Roman" w:eastAsia="Times New Roman" w:hAnsi="Times New Roman" w:cs="Times New Roman"/>
          <w:b/>
          <w:bCs/>
          <w:sz w:val="12"/>
          <w:szCs w:val="12"/>
        </w:rPr>
        <w:t>tayllorcox</w:t>
      </w:r>
      <w:proofErr w:type="spellEnd"/>
      <w:r>
        <w:rPr>
          <w:rStyle w:val="Jin"/>
          <w:rFonts w:ascii="Times New Roman" w:eastAsia="Times New Roman" w:hAnsi="Times New Roman" w:cs="Times New Roman"/>
          <w:b/>
          <w:bCs/>
          <w:sz w:val="12"/>
          <w:szCs w:val="12"/>
        </w:rPr>
        <w:br/>
      </w:r>
      <w:proofErr w:type="spellStart"/>
      <w:r>
        <w:rPr>
          <w:rStyle w:val="Jin"/>
          <w:rFonts w:ascii="Times New Roman" w:eastAsia="Times New Roman" w:hAnsi="Times New Roman" w:cs="Times New Roman"/>
          <w:b/>
          <w:bCs/>
          <w:sz w:val="12"/>
          <w:szCs w:val="12"/>
        </w:rPr>
        <w:t>isomi</w:t>
      </w:r>
      <w:proofErr w:type="spellEnd"/>
    </w:p>
    <w:p w:rsidR="0099560E" w:rsidRDefault="00A37367">
      <w:pPr>
        <w:pStyle w:val="Titulekobrzku0"/>
        <w:framePr w:w="605" w:h="446" w:wrap="none" w:vAnchor="text" w:hAnchor="page" w:x="1817" w:y="11862"/>
        <w:spacing w:line="206" w:lineRule="auto"/>
        <w:jc w:val="center"/>
        <w:rPr>
          <w:sz w:val="12"/>
          <w:szCs w:val="12"/>
        </w:rPr>
      </w:pPr>
      <w:r>
        <w:rPr>
          <w:rStyle w:val="Titulekobrzku"/>
          <w:b/>
          <w:bCs/>
        </w:rPr>
        <w:t xml:space="preserve">A </w:t>
      </w:r>
      <w:proofErr w:type="spellStart"/>
      <w:r>
        <w:rPr>
          <w:rStyle w:val="Titulekobrzku"/>
          <w:rFonts w:ascii="Times New Roman" w:eastAsia="Times New Roman" w:hAnsi="Times New Roman" w:cs="Times New Roman"/>
          <w:b/>
          <w:bCs/>
          <w:sz w:val="12"/>
          <w:szCs w:val="12"/>
        </w:rPr>
        <w:t>tayllorcox</w:t>
      </w:r>
      <w:proofErr w:type="spellEnd"/>
    </w:p>
    <w:p w:rsidR="0099560E" w:rsidRDefault="00A37367">
      <w:pPr>
        <w:spacing w:line="360" w:lineRule="exact"/>
      </w:pPr>
      <w:r>
        <w:rPr>
          <w:noProof/>
          <w:lang w:bidi="ar-SA"/>
        </w:rPr>
        <w:drawing>
          <wp:anchor distT="155575" distB="176530" distL="0" distR="0" simplePos="0" relativeHeight="62914693" behindDoc="1" locked="0" layoutInCell="1" allowOverlap="1">
            <wp:simplePos x="0" y="0"/>
            <wp:positionH relativeFrom="page">
              <wp:posOffset>1323340</wp:posOffset>
            </wp:positionH>
            <wp:positionV relativeFrom="paragraph">
              <wp:posOffset>168275</wp:posOffset>
            </wp:positionV>
            <wp:extent cx="5059680" cy="12985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0596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175" distB="0" distL="417830" distR="0" simplePos="0" relativeHeight="62914694" behindDoc="1" locked="0" layoutInCell="1" allowOverlap="1">
            <wp:simplePos x="0" y="0"/>
            <wp:positionH relativeFrom="page">
              <wp:posOffset>1570990</wp:posOffset>
            </wp:positionH>
            <wp:positionV relativeFrom="paragraph">
              <wp:posOffset>7534910</wp:posOffset>
            </wp:positionV>
            <wp:extent cx="1743710" cy="47561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4371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line="360" w:lineRule="exact"/>
      </w:pPr>
    </w:p>
    <w:p w:rsidR="0099560E" w:rsidRDefault="0099560E">
      <w:pPr>
        <w:spacing w:after="679" w:line="1" w:lineRule="exact"/>
      </w:pPr>
    </w:p>
    <w:p w:rsidR="0099560E" w:rsidRDefault="0099560E">
      <w:pPr>
        <w:spacing w:line="1" w:lineRule="exact"/>
      </w:pPr>
    </w:p>
    <w:sectPr w:rsidR="0099560E">
      <w:type w:val="continuous"/>
      <w:pgSz w:w="11900" w:h="16840"/>
      <w:pgMar w:top="1040" w:right="1104" w:bottom="936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67" w:rsidRDefault="00A37367">
      <w:r>
        <w:separator/>
      </w:r>
    </w:p>
  </w:endnote>
  <w:endnote w:type="continuationSeparator" w:id="0">
    <w:p w:rsidR="00A37367" w:rsidRDefault="00A3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0E" w:rsidRDefault="00A373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10134600</wp:posOffset>
              </wp:positionV>
              <wp:extent cx="3017520" cy="1765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560E" w:rsidRDefault="00A37367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sz w:val="10"/>
                              <w:szCs w:val="10"/>
                            </w:rPr>
                            <w:t>Teplárny Brno a.s, Okružní 25, 638 00 Brno</w:t>
                          </w:r>
                        </w:p>
                        <w:p w:rsidR="0099560E" w:rsidRDefault="00A37367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sz w:val="10"/>
                              <w:szCs w:val="10"/>
                            </w:rPr>
                            <w:t>Firma je zapsaná v obchodním rejstříku vedeném u Krajského soudu v Brně, spisová značka B 786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4.65000000000003pt;margin-top:798.pt;width:237.59999999999999pt;height:13.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8"/>
                        <w:b/>
                        <w:bCs/>
                        <w:sz w:val="10"/>
                        <w:szCs w:val="10"/>
                      </w:rPr>
                      <w:t>Teplárny Brno a.s, Okružní 25, 638 00 Brno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8"/>
                        <w:b/>
                        <w:bCs/>
                        <w:sz w:val="10"/>
                        <w:szCs w:val="10"/>
                      </w:rPr>
                      <w:t>Firma je zapsaná v obchodním rejstříku vedeném u Krajského soudu v Brně, spisová značka B 786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67" w:rsidRDefault="00A37367"/>
  </w:footnote>
  <w:footnote w:type="continuationSeparator" w:id="0">
    <w:p w:rsidR="00A37367" w:rsidRDefault="00A37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478C9"/>
    <w:multiLevelType w:val="multilevel"/>
    <w:tmpl w:val="0FAEDE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0E"/>
    <w:rsid w:val="003541D6"/>
    <w:rsid w:val="0099560E"/>
    <w:rsid w:val="00A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EF74"/>
  <w15:docId w15:val="{067D14AF-E61A-42D0-992B-3510818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line="168" w:lineRule="auto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52" w:lineRule="auto"/>
      <w:ind w:left="195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2574</Characters>
  <Application>Microsoft Office Word</Application>
  <DocSecurity>0</DocSecurity>
  <Lines>21</Lines>
  <Paragraphs>6</Paragraphs>
  <ScaleCrop>false</ScaleCrop>
  <Company>HP Inc.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2025-01-10T12:30:00Z</dcterms:created>
  <dcterms:modified xsi:type="dcterms:W3CDTF">2025-01-10T12:30:00Z</dcterms:modified>
</cp:coreProperties>
</file>